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4A918" w14:textId="77777777" w:rsidR="007E6A5C" w:rsidRPr="007E6A5C" w:rsidRDefault="007E6A5C" w:rsidP="007E6A5C">
      <w:pPr>
        <w:spacing w:before="240" w:after="0" w:line="240" w:lineRule="auto"/>
        <w:outlineLvl w:val="4"/>
        <w:rPr>
          <w:rFonts w:ascii="Calibri" w:eastAsia="Times New Roman" w:hAnsi="Calibri" w:cs="Calibri"/>
          <w:b/>
          <w:bCs/>
          <w:color w:val="111111"/>
        </w:rPr>
      </w:pPr>
      <w:r w:rsidRPr="007E6A5C">
        <w:rPr>
          <w:rFonts w:ascii="Calibri" w:eastAsia="Times New Roman" w:hAnsi="Calibri" w:cs="Calibri"/>
          <w:b/>
          <w:bCs/>
          <w:color w:val="111111"/>
        </w:rPr>
        <w:t>Sec. 6-2421. - Title of article.</w:t>
      </w:r>
    </w:p>
    <w:p w14:paraId="5D87E39F"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This Article shall be known and may be cited as The </w:t>
      </w:r>
      <w:hyperlink r:id="rId5" w:tgtFrame="_blank" w:history="1">
        <w:r w:rsidRPr="007E6A5C">
          <w:rPr>
            <w:rFonts w:ascii="Calibri" w:eastAsia="Times New Roman" w:hAnsi="Calibri" w:cs="Calibri"/>
            <w:color w:val="000000"/>
            <w:u w:val="single"/>
          </w:rPr>
          <w:t>Festival</w:t>
        </w:r>
      </w:hyperlink>
      <w:r w:rsidRPr="007E6A5C">
        <w:rPr>
          <w:rFonts w:ascii="Calibri" w:eastAsia="Times New Roman" w:hAnsi="Calibri" w:cs="Calibri"/>
          <w:color w:val="111111"/>
        </w:rPr>
        <w:t> Ordinance of 2013.</w:t>
      </w:r>
    </w:p>
    <w:p w14:paraId="413425CD"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 </w:t>
      </w:r>
      <w:hyperlink r:id="rId6" w:history="1">
        <w:r w:rsidRPr="007E6A5C">
          <w:rPr>
            <w:rFonts w:ascii="Calibri" w:eastAsia="Times New Roman" w:hAnsi="Calibri" w:cs="Calibri"/>
            <w:color w:val="000080"/>
            <w:u w:val="single"/>
          </w:rPr>
          <w:t>Ord. of 2-21-2013(1)</w:t>
        </w:r>
      </w:hyperlink>
      <w:r w:rsidRPr="007E6A5C">
        <w:rPr>
          <w:rFonts w:ascii="Calibri" w:eastAsia="Times New Roman" w:hAnsi="Calibri" w:cs="Calibri"/>
          <w:color w:val="111111"/>
        </w:rPr>
        <w:t> )</w:t>
      </w:r>
    </w:p>
    <w:p w14:paraId="089AF78D" w14:textId="77777777" w:rsidR="007E6A5C" w:rsidRPr="007E6A5C" w:rsidRDefault="007E6A5C" w:rsidP="007E6A5C">
      <w:pPr>
        <w:spacing w:before="240" w:after="0" w:line="240" w:lineRule="auto"/>
        <w:outlineLvl w:val="4"/>
        <w:rPr>
          <w:rFonts w:ascii="Calibri" w:eastAsia="Times New Roman" w:hAnsi="Calibri" w:cs="Calibri"/>
          <w:b/>
          <w:bCs/>
          <w:color w:val="111111"/>
        </w:rPr>
      </w:pPr>
      <w:r w:rsidRPr="007E6A5C">
        <w:rPr>
          <w:rFonts w:ascii="Calibri" w:eastAsia="Times New Roman" w:hAnsi="Calibri" w:cs="Calibri"/>
          <w:b/>
          <w:bCs/>
          <w:color w:val="111111"/>
        </w:rPr>
        <w:t>Sec. 6-2422. - Definitions.</w:t>
      </w:r>
    </w:p>
    <w:p w14:paraId="3C179A0A"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Words and terms used in this article are defined as follows:</w:t>
      </w:r>
    </w:p>
    <w:p w14:paraId="707D45D9" w14:textId="77777777" w:rsidR="007E6A5C" w:rsidRPr="007E6A5C" w:rsidRDefault="007E6A5C" w:rsidP="007E6A5C">
      <w:pPr>
        <w:spacing w:after="120" w:line="275" w:lineRule="atLeast"/>
        <w:jc w:val="both"/>
        <w:rPr>
          <w:rFonts w:ascii="Calibri" w:eastAsia="Times New Roman" w:hAnsi="Calibri" w:cs="Calibri"/>
          <w:color w:val="111111"/>
        </w:rPr>
      </w:pPr>
      <w:r w:rsidRPr="007E6A5C">
        <w:rPr>
          <w:rFonts w:ascii="Arial Black" w:eastAsia="Times New Roman" w:hAnsi="Arial Black" w:cs="Calibri"/>
          <w:b/>
          <w:bCs/>
          <w:color w:val="17196B"/>
        </w:rPr>
        <w:t>Festival</w:t>
      </w:r>
      <w:r w:rsidRPr="007E6A5C">
        <w:rPr>
          <w:rFonts w:ascii="Calibri" w:eastAsia="Times New Roman" w:hAnsi="Calibri" w:cs="Calibri"/>
          <w:i/>
          <w:iCs/>
          <w:color w:val="111111"/>
        </w:rPr>
        <w:t>:</w:t>
      </w:r>
      <w:r w:rsidRPr="007E6A5C">
        <w:rPr>
          <w:rFonts w:ascii="Calibri" w:eastAsia="Times New Roman" w:hAnsi="Calibri" w:cs="Calibri"/>
          <w:color w:val="111111"/>
        </w:rPr>
        <w:t> A program of cultural and/or entertainment events open to the general public and taking place either fully or in part on public streets, thoroughfares, parks, squares, or other public property in connection with a community festival such as St. Patrick's Day. To be regulated by this article, each such festival must be designated as a festival by the mayor and aldermen.</w:t>
      </w:r>
    </w:p>
    <w:p w14:paraId="10ED9C55" w14:textId="23F7312C" w:rsidR="007E6A5C" w:rsidRPr="00B43724" w:rsidRDefault="007E6A5C" w:rsidP="007E6A5C">
      <w:pPr>
        <w:spacing w:after="120" w:line="275" w:lineRule="atLeast"/>
        <w:jc w:val="both"/>
        <w:rPr>
          <w:rFonts w:ascii="Calibri" w:eastAsia="Times New Roman" w:hAnsi="Calibri" w:cs="Calibri"/>
          <w:color w:val="111111"/>
        </w:rPr>
      </w:pPr>
      <w:r w:rsidRPr="007E6A5C">
        <w:rPr>
          <w:rFonts w:ascii="Arial Black" w:eastAsia="Times New Roman" w:hAnsi="Arial Black" w:cs="Calibri"/>
          <w:b/>
          <w:bCs/>
          <w:color w:val="17196B"/>
        </w:rPr>
        <w:t>Festival area</w:t>
      </w:r>
      <w:r w:rsidRPr="007E6A5C">
        <w:rPr>
          <w:rFonts w:ascii="Calibri" w:eastAsia="Times New Roman" w:hAnsi="Calibri" w:cs="Calibri"/>
          <w:i/>
          <w:iCs/>
          <w:color w:val="111111"/>
        </w:rPr>
        <w:t>:</w:t>
      </w:r>
      <w:r w:rsidRPr="007E6A5C">
        <w:rPr>
          <w:rFonts w:ascii="Calibri" w:eastAsia="Times New Roman" w:hAnsi="Calibri" w:cs="Calibri"/>
          <w:color w:val="111111"/>
        </w:rPr>
        <w:t> The area specifically designated and defined by the mayor and aldermen as the location of festival events and activities.</w:t>
      </w:r>
    </w:p>
    <w:p w14:paraId="5D261F34" w14:textId="3E47CE22" w:rsidR="00C975DF" w:rsidRPr="00FD5A19" w:rsidRDefault="00C975DF" w:rsidP="3EF9E955">
      <w:pPr>
        <w:spacing w:after="120" w:line="275" w:lineRule="atLeast"/>
        <w:jc w:val="both"/>
        <w:rPr>
          <w:rFonts w:eastAsia="Times New Roman"/>
          <w:color w:val="FF0000"/>
        </w:rPr>
      </w:pPr>
      <w:r w:rsidRPr="3EF9E955">
        <w:rPr>
          <w:rFonts w:ascii="Arial Black" w:eastAsia="Times New Roman" w:hAnsi="Arial Black" w:cs="Calibri"/>
          <w:b/>
          <w:bCs/>
          <w:color w:val="002060"/>
        </w:rPr>
        <w:t>To Go Cup zone</w:t>
      </w:r>
      <w:r w:rsidRPr="3EF9E955">
        <w:rPr>
          <w:rFonts w:eastAsia="Times New Roman"/>
          <w:color w:val="002060"/>
        </w:rPr>
        <w:t xml:space="preserve">: </w:t>
      </w:r>
      <w:r w:rsidRPr="3EF9E955">
        <w:rPr>
          <w:rFonts w:eastAsia="Times New Roman"/>
        </w:rPr>
        <w:t>The area specifically designated and defined by the mayor and aldermen as the location where alcoholic beverages may be consumed on the public right-of-way</w:t>
      </w:r>
      <w:r w:rsidR="4E94B554" w:rsidRPr="3EF9E955">
        <w:rPr>
          <w:rFonts w:eastAsia="Times New Roman"/>
        </w:rPr>
        <w:t xml:space="preserve"> on March 17, </w:t>
      </w:r>
      <w:proofErr w:type="gramStart"/>
      <w:r w:rsidR="4E94B554" w:rsidRPr="3EF9E955">
        <w:rPr>
          <w:rFonts w:eastAsia="Times New Roman"/>
        </w:rPr>
        <w:t>2023</w:t>
      </w:r>
      <w:proofErr w:type="gramEnd"/>
      <w:r w:rsidR="4E94B554" w:rsidRPr="3EF9E955">
        <w:rPr>
          <w:rFonts w:eastAsia="Times New Roman"/>
        </w:rPr>
        <w:t xml:space="preserve"> at 10AM through 2AM on Saturday, March 18, 2023.</w:t>
      </w:r>
      <w:r w:rsidRPr="3EF9E955">
        <w:rPr>
          <w:rFonts w:eastAsia="Times New Roman"/>
        </w:rPr>
        <w:t xml:space="preserve"> </w:t>
      </w:r>
    </w:p>
    <w:p w14:paraId="06931E28" w14:textId="77777777" w:rsidR="007E6A5C" w:rsidRPr="007E6A5C" w:rsidRDefault="007E6A5C" w:rsidP="007E6A5C">
      <w:pPr>
        <w:spacing w:after="120" w:line="275" w:lineRule="atLeast"/>
        <w:jc w:val="both"/>
        <w:rPr>
          <w:rFonts w:ascii="Calibri" w:eastAsia="Times New Roman" w:hAnsi="Calibri" w:cs="Calibri"/>
          <w:color w:val="111111"/>
        </w:rPr>
      </w:pPr>
      <w:r w:rsidRPr="007E6A5C">
        <w:rPr>
          <w:rFonts w:ascii="Arial Black" w:eastAsia="Times New Roman" w:hAnsi="Arial Black" w:cs="Calibri"/>
          <w:b/>
          <w:bCs/>
          <w:color w:val="17196B"/>
        </w:rPr>
        <w:t>Control zone</w:t>
      </w:r>
      <w:r w:rsidRPr="007E6A5C">
        <w:rPr>
          <w:rFonts w:ascii="Calibri" w:eastAsia="Times New Roman" w:hAnsi="Calibri" w:cs="Calibri"/>
          <w:i/>
          <w:iCs/>
          <w:color w:val="111111"/>
        </w:rPr>
        <w:t>:</w:t>
      </w:r>
      <w:r w:rsidRPr="007E6A5C">
        <w:rPr>
          <w:rFonts w:ascii="Calibri" w:eastAsia="Times New Roman" w:hAnsi="Calibri" w:cs="Calibri"/>
          <w:color w:val="111111"/>
        </w:rPr>
        <w:t> A zone within the festival area in which special regulations may apply as recommended in each case by the city manager and authorized by the mayor and aldermen, including but not limited to controlled access by fencing and gating, wristband identification of persons admitted to a controlled zone, wristband identification of persons authorized to purchase and hold in possession alcoholic beverages, loudspeaker limits and controls, enhanced security measures, and entertainment controls.</w:t>
      </w:r>
    </w:p>
    <w:p w14:paraId="54F89DA0" w14:textId="77777777" w:rsidR="007E6A5C" w:rsidRPr="007E6A5C" w:rsidRDefault="007E6A5C" w:rsidP="007E6A5C">
      <w:pPr>
        <w:spacing w:after="120" w:line="275" w:lineRule="atLeast"/>
        <w:jc w:val="both"/>
        <w:rPr>
          <w:rFonts w:ascii="Calibri" w:eastAsia="Times New Roman" w:hAnsi="Calibri" w:cs="Calibri"/>
          <w:color w:val="111111"/>
        </w:rPr>
      </w:pPr>
      <w:r w:rsidRPr="007E6A5C">
        <w:rPr>
          <w:rFonts w:ascii="Arial Black" w:eastAsia="Times New Roman" w:hAnsi="Arial Black" w:cs="Calibri"/>
          <w:b/>
          <w:bCs/>
          <w:color w:val="17196B"/>
        </w:rPr>
        <w:t>Alcoholic beverage</w:t>
      </w:r>
      <w:r w:rsidRPr="007E6A5C">
        <w:rPr>
          <w:rFonts w:ascii="Calibri" w:eastAsia="Times New Roman" w:hAnsi="Calibri" w:cs="Calibri"/>
          <w:i/>
          <w:iCs/>
          <w:color w:val="111111"/>
        </w:rPr>
        <w:t>:</w:t>
      </w:r>
      <w:r w:rsidRPr="007E6A5C">
        <w:rPr>
          <w:rFonts w:ascii="Calibri" w:eastAsia="Times New Roman" w:hAnsi="Calibri" w:cs="Calibri"/>
          <w:color w:val="111111"/>
        </w:rPr>
        <w:t> Any beverage containing alcohol.</w:t>
      </w:r>
    </w:p>
    <w:p w14:paraId="60C3ECB3"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 </w:t>
      </w:r>
      <w:hyperlink r:id="rId7" w:history="1">
        <w:r w:rsidRPr="007E6A5C">
          <w:rPr>
            <w:rFonts w:ascii="Calibri" w:eastAsia="Times New Roman" w:hAnsi="Calibri" w:cs="Calibri"/>
            <w:color w:val="000080"/>
            <w:u w:val="single"/>
          </w:rPr>
          <w:t>Ord. of 2-21-2013(1)</w:t>
        </w:r>
      </w:hyperlink>
      <w:r w:rsidRPr="007E6A5C">
        <w:rPr>
          <w:rFonts w:ascii="Calibri" w:eastAsia="Times New Roman" w:hAnsi="Calibri" w:cs="Calibri"/>
          <w:color w:val="111111"/>
        </w:rPr>
        <w:t> )</w:t>
      </w:r>
    </w:p>
    <w:p w14:paraId="575C663E" w14:textId="77777777" w:rsidR="007E6A5C" w:rsidRPr="007E6A5C" w:rsidRDefault="007E6A5C" w:rsidP="007E6A5C">
      <w:pPr>
        <w:spacing w:before="240" w:after="0" w:line="240" w:lineRule="auto"/>
        <w:outlineLvl w:val="4"/>
        <w:rPr>
          <w:rFonts w:ascii="Calibri" w:eastAsia="Times New Roman" w:hAnsi="Calibri" w:cs="Calibri"/>
          <w:b/>
          <w:bCs/>
          <w:color w:val="111111"/>
        </w:rPr>
      </w:pPr>
      <w:r w:rsidRPr="007E6A5C">
        <w:rPr>
          <w:rFonts w:ascii="Calibri" w:eastAsia="Times New Roman" w:hAnsi="Calibri" w:cs="Calibri"/>
          <w:b/>
          <w:bCs/>
          <w:color w:val="111111"/>
        </w:rPr>
        <w:t>Sec. 6-2423. - Designation of a community festival.</w:t>
      </w:r>
    </w:p>
    <w:p w14:paraId="0ECB42DA" w14:textId="7D37C008"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On the recommendation of the city manager, the mayor and aldermen may designate and name certain community </w:t>
      </w:r>
      <w:hyperlink r:id="rId8" w:tgtFrame="_blank" w:history="1">
        <w:r w:rsidRPr="007E6A5C">
          <w:rPr>
            <w:rFonts w:ascii="Calibri" w:eastAsia="Times New Roman" w:hAnsi="Calibri" w:cs="Calibri"/>
            <w:color w:val="000000"/>
            <w:u w:val="single"/>
          </w:rPr>
          <w:t>festival</w:t>
        </w:r>
      </w:hyperlink>
      <w:r w:rsidRPr="007E6A5C">
        <w:rPr>
          <w:rFonts w:ascii="Calibri" w:eastAsia="Times New Roman" w:hAnsi="Calibri" w:cs="Calibri"/>
          <w:color w:val="111111"/>
        </w:rPr>
        <w:t> days, including the "St. Patrick's Day Festival," and during such festival days authorize cultural and entertainment events and initiate the regulatory provisions of this article within the </w:t>
      </w:r>
      <w:r w:rsidR="00103F43">
        <w:rPr>
          <w:rFonts w:ascii="Calibri" w:eastAsia="Times New Roman" w:hAnsi="Calibri" w:cs="Calibri"/>
          <w:color w:val="111111"/>
        </w:rPr>
        <w:t>To Go Cup Zone.</w:t>
      </w:r>
    </w:p>
    <w:p w14:paraId="26D04F02"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 </w:t>
      </w:r>
      <w:hyperlink r:id="rId9" w:history="1">
        <w:r w:rsidRPr="007E6A5C">
          <w:rPr>
            <w:rFonts w:ascii="Calibri" w:eastAsia="Times New Roman" w:hAnsi="Calibri" w:cs="Calibri"/>
            <w:color w:val="000080"/>
            <w:u w:val="single"/>
          </w:rPr>
          <w:t>Ord. of 2-21-2013(1)</w:t>
        </w:r>
      </w:hyperlink>
      <w:r w:rsidRPr="007E6A5C">
        <w:rPr>
          <w:rFonts w:ascii="Calibri" w:eastAsia="Times New Roman" w:hAnsi="Calibri" w:cs="Calibri"/>
          <w:color w:val="111111"/>
        </w:rPr>
        <w:t> )</w:t>
      </w:r>
    </w:p>
    <w:p w14:paraId="2073C0D7" w14:textId="44059C14" w:rsidR="007E6A5C" w:rsidRPr="007E6A5C" w:rsidRDefault="007E6A5C" w:rsidP="007E6A5C">
      <w:pPr>
        <w:spacing w:before="240" w:after="0" w:line="240" w:lineRule="auto"/>
        <w:outlineLvl w:val="4"/>
        <w:rPr>
          <w:rFonts w:ascii="Calibri" w:eastAsia="Times New Roman" w:hAnsi="Calibri" w:cs="Calibri"/>
          <w:b/>
          <w:bCs/>
          <w:color w:val="111111"/>
        </w:rPr>
      </w:pPr>
      <w:r w:rsidRPr="007E6A5C">
        <w:rPr>
          <w:rFonts w:ascii="Calibri" w:eastAsia="Times New Roman" w:hAnsi="Calibri" w:cs="Calibri"/>
          <w:b/>
          <w:bCs/>
          <w:color w:val="111111"/>
        </w:rPr>
        <w:t xml:space="preserve">Sec. 6-2424. - Designation of a </w:t>
      </w:r>
      <w:r w:rsidR="00D756DF" w:rsidRPr="00B43724">
        <w:rPr>
          <w:rFonts w:ascii="Calibri" w:eastAsia="Times New Roman" w:hAnsi="Calibri" w:cs="Calibri"/>
          <w:b/>
          <w:bCs/>
          <w:color w:val="111111"/>
        </w:rPr>
        <w:t>To Go Cup Zone</w:t>
      </w:r>
    </w:p>
    <w:p w14:paraId="1624A91A" w14:textId="621B151B" w:rsidR="00D756DF" w:rsidRPr="00B43724" w:rsidRDefault="00D756DF" w:rsidP="00D756DF">
      <w:pPr>
        <w:pStyle w:val="ListParagraph"/>
        <w:numPr>
          <w:ilvl w:val="0"/>
          <w:numId w:val="2"/>
        </w:numPr>
        <w:spacing w:before="120" w:after="120" w:line="275" w:lineRule="atLeast"/>
        <w:jc w:val="both"/>
        <w:rPr>
          <w:color w:val="FF0000"/>
        </w:rPr>
      </w:pPr>
      <w:r w:rsidRPr="00B43724">
        <w:rPr>
          <w:color w:val="111111"/>
        </w:rPr>
        <w:t>Unless the mayor and aldermen specifically defines otherwise, the </w:t>
      </w:r>
      <w:hyperlink r:id="rId10" w:tgtFrame="_blank" w:history="1">
        <w:r w:rsidRPr="00B43724">
          <w:rPr>
            <w:rStyle w:val="Hyperlink"/>
            <w:color w:val="000000"/>
          </w:rPr>
          <w:t>to</w:t>
        </w:r>
      </w:hyperlink>
      <w:r w:rsidRPr="00B43724">
        <w:rPr>
          <w:color w:val="111111"/>
          <w:u w:val="single"/>
        </w:rPr>
        <w:t xml:space="preserve"> go cup zone</w:t>
      </w:r>
      <w:r w:rsidRPr="00B43724">
        <w:rPr>
          <w:color w:val="111111"/>
        </w:rPr>
        <w:t xml:space="preserve"> shall be that area bounded on the north by the Savannah River, on the west by the centerline of the Talmadge Memorial Bridge extended south on West Boundary Street </w:t>
      </w:r>
      <w:r w:rsidRPr="00692E42">
        <w:t>to West Oglethorpe Avenue, extended east on West Oglethorpe Avenue to Martin Luther King, Jr. Boulevard, extended south on Martin Luther King, Jr. Boulevard to Victory Drive, and on the south by Victory Drive and extended east to the Truman Parkway, and on the east by Truman Parkway extending north to the Savannah River.</w:t>
      </w:r>
    </w:p>
    <w:p w14:paraId="38A6FA13" w14:textId="77777777" w:rsidR="00D756DF" w:rsidRPr="00B43724" w:rsidRDefault="00D756DF" w:rsidP="00D756DF">
      <w:pPr>
        <w:pStyle w:val="ListParagraph"/>
        <w:spacing w:before="120" w:after="120" w:line="275" w:lineRule="atLeast"/>
        <w:jc w:val="both"/>
        <w:rPr>
          <w:color w:val="FF0000"/>
        </w:rPr>
      </w:pPr>
    </w:p>
    <w:p w14:paraId="4721BA56" w14:textId="3AB83106" w:rsidR="00D756DF" w:rsidRPr="00692E42" w:rsidRDefault="00D756DF" w:rsidP="00D756DF">
      <w:pPr>
        <w:pStyle w:val="ListParagraph"/>
        <w:numPr>
          <w:ilvl w:val="0"/>
          <w:numId w:val="2"/>
        </w:numPr>
        <w:spacing w:after="0" w:line="240" w:lineRule="auto"/>
        <w:contextualSpacing w:val="0"/>
        <w:rPr>
          <w:rFonts w:eastAsia="Times New Roman"/>
        </w:rPr>
      </w:pPr>
      <w:r w:rsidRPr="00692E42">
        <w:rPr>
          <w:rFonts w:eastAsia="Times New Roman"/>
        </w:rPr>
        <w:lastRenderedPageBreak/>
        <w:t xml:space="preserve">The City of Savannah will not issue any permits for private activities on the public rights-of-way, including but not limited to outdoor entertainment and alcohol sales, within the </w:t>
      </w:r>
      <w:r w:rsidR="00B43724" w:rsidRPr="00692E42">
        <w:rPr>
          <w:rFonts w:eastAsia="Times New Roman"/>
        </w:rPr>
        <w:t>To Go Cup Zone</w:t>
      </w:r>
      <w:r w:rsidR="00CC5F7E" w:rsidRPr="00692E42">
        <w:rPr>
          <w:rFonts w:eastAsia="Times New Roman"/>
        </w:rPr>
        <w:t>.</w:t>
      </w:r>
    </w:p>
    <w:p w14:paraId="63BEC7C0" w14:textId="5EBA4A53" w:rsidR="00D756DF" w:rsidRPr="00B43724" w:rsidRDefault="00D756DF" w:rsidP="00A66AE2">
      <w:pPr>
        <w:pStyle w:val="ListParagraph"/>
        <w:spacing w:before="120" w:after="120" w:line="275" w:lineRule="atLeast"/>
        <w:jc w:val="both"/>
        <w:rPr>
          <w:color w:val="FF0000"/>
        </w:rPr>
      </w:pPr>
    </w:p>
    <w:p w14:paraId="59D4ECCD"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 </w:t>
      </w:r>
      <w:hyperlink r:id="rId11" w:history="1">
        <w:r w:rsidRPr="007E6A5C">
          <w:rPr>
            <w:rFonts w:ascii="Calibri" w:eastAsia="Times New Roman" w:hAnsi="Calibri" w:cs="Calibri"/>
            <w:color w:val="000080"/>
            <w:u w:val="single"/>
          </w:rPr>
          <w:t>Ord. of 2-21-2013(1)</w:t>
        </w:r>
      </w:hyperlink>
      <w:r w:rsidRPr="007E6A5C">
        <w:rPr>
          <w:rFonts w:ascii="Calibri" w:eastAsia="Times New Roman" w:hAnsi="Calibri" w:cs="Calibri"/>
          <w:color w:val="111111"/>
        </w:rPr>
        <w:t> )</w:t>
      </w:r>
    </w:p>
    <w:p w14:paraId="588D6085" w14:textId="77777777" w:rsidR="007E6A5C" w:rsidRPr="007E6A5C" w:rsidRDefault="007E6A5C" w:rsidP="007E6A5C">
      <w:pPr>
        <w:spacing w:before="240" w:after="0" w:line="240" w:lineRule="auto"/>
        <w:outlineLvl w:val="4"/>
        <w:rPr>
          <w:rFonts w:ascii="Calibri" w:eastAsia="Times New Roman" w:hAnsi="Calibri" w:cs="Calibri"/>
          <w:b/>
          <w:bCs/>
          <w:color w:val="111111"/>
        </w:rPr>
      </w:pPr>
      <w:r w:rsidRPr="007E6A5C">
        <w:rPr>
          <w:rFonts w:ascii="Calibri" w:eastAsia="Times New Roman" w:hAnsi="Calibri" w:cs="Calibri"/>
          <w:b/>
          <w:bCs/>
          <w:color w:val="111111"/>
        </w:rPr>
        <w:t>Sec. 6-2425. - Designation and management of control zone</w:t>
      </w:r>
    </w:p>
    <w:p w14:paraId="42BCA54F" w14:textId="02402C9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Upon recommendation of the city manager, the mayor and aldermen may designate one or more </w:t>
      </w:r>
      <w:hyperlink r:id="rId12" w:tgtFrame="_blank" w:history="1">
        <w:r w:rsidRPr="007E6A5C">
          <w:rPr>
            <w:rFonts w:ascii="Calibri" w:eastAsia="Times New Roman" w:hAnsi="Calibri" w:cs="Calibri"/>
            <w:color w:val="000000"/>
            <w:u w:val="single"/>
          </w:rPr>
          <w:t>control zones</w:t>
        </w:r>
      </w:hyperlink>
      <w:r w:rsidRPr="007E6A5C">
        <w:rPr>
          <w:rFonts w:ascii="Calibri" w:eastAsia="Times New Roman" w:hAnsi="Calibri" w:cs="Calibri"/>
          <w:color w:val="111111"/>
        </w:rPr>
        <w:t> within the </w:t>
      </w:r>
      <w:hyperlink r:id="rId13" w:tgtFrame="_blank" w:history="1">
        <w:r w:rsidR="00A66AE2" w:rsidRPr="00B43724">
          <w:rPr>
            <w:rFonts w:ascii="Calibri" w:eastAsia="Times New Roman" w:hAnsi="Calibri" w:cs="Calibri"/>
            <w:color w:val="000000"/>
            <w:u w:val="single"/>
          </w:rPr>
          <w:t>to</w:t>
        </w:r>
      </w:hyperlink>
      <w:r w:rsidR="00A66AE2" w:rsidRPr="00B43724">
        <w:rPr>
          <w:rFonts w:ascii="Calibri" w:eastAsia="Times New Roman" w:hAnsi="Calibri" w:cs="Calibri"/>
          <w:color w:val="111111"/>
          <w:u w:val="single"/>
        </w:rPr>
        <w:t xml:space="preserve"> go cup zone</w:t>
      </w:r>
      <w:r w:rsidRPr="007E6A5C">
        <w:rPr>
          <w:rFonts w:ascii="Calibri" w:eastAsia="Times New Roman" w:hAnsi="Calibri" w:cs="Calibri"/>
          <w:color w:val="111111"/>
        </w:rPr>
        <w:t>, and may authorize the city manager to implement regulations and controls which will be specific for each designated control zone. Such regulations and controls may include but are not limited to the following:</w:t>
      </w:r>
    </w:p>
    <w:p w14:paraId="5A1E9D1E"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i/>
          <w:iCs/>
          <w:color w:val="111111"/>
        </w:rPr>
        <w:t>Fencing and gating</w:t>
      </w:r>
      <w:r w:rsidRPr="007E6A5C">
        <w:rPr>
          <w:rFonts w:ascii="Calibri" w:eastAsia="Times New Roman" w:hAnsi="Calibri" w:cs="Calibri"/>
          <w:color w:val="111111"/>
        </w:rPr>
        <w:t>. Fencing designated control zone(s) and establishing entrance gates for controlling and limiting access to each control zone.</w:t>
      </w:r>
    </w:p>
    <w:p w14:paraId="637E646F" w14:textId="77777777" w:rsidR="007E6A5C" w:rsidRPr="007E6A5C" w:rsidRDefault="007E6A5C" w:rsidP="007E6A5C">
      <w:pPr>
        <w:numPr>
          <w:ilvl w:val="0"/>
          <w:numId w:val="1"/>
        </w:numPr>
        <w:spacing w:before="60" w:after="60" w:line="275" w:lineRule="atLeast"/>
        <w:ind w:left="960"/>
        <w:jc w:val="both"/>
        <w:rPr>
          <w:rFonts w:ascii="Calibri" w:eastAsia="Times New Roman" w:hAnsi="Calibri" w:cs="Calibri"/>
          <w:color w:val="111111"/>
        </w:rPr>
      </w:pPr>
      <w:r w:rsidRPr="007E6A5C">
        <w:rPr>
          <w:rFonts w:ascii="Calibri" w:eastAsia="Times New Roman" w:hAnsi="Calibri" w:cs="Calibri"/>
          <w:i/>
          <w:iCs/>
          <w:color w:val="111111"/>
        </w:rPr>
        <w:t>Signage</w:t>
      </w:r>
      <w:r w:rsidRPr="007E6A5C">
        <w:rPr>
          <w:rFonts w:ascii="Calibri" w:eastAsia="Times New Roman" w:hAnsi="Calibri" w:cs="Calibri"/>
          <w:color w:val="111111"/>
        </w:rPr>
        <w:t>. The </w:t>
      </w:r>
      <w:hyperlink r:id="rId14" w:tgtFrame="_blank" w:history="1">
        <w:r w:rsidRPr="007E6A5C">
          <w:rPr>
            <w:rFonts w:ascii="Calibri" w:eastAsia="Times New Roman" w:hAnsi="Calibri" w:cs="Calibri"/>
            <w:color w:val="000000"/>
            <w:u w:val="single"/>
          </w:rPr>
          <w:t>festival</w:t>
        </w:r>
      </w:hyperlink>
      <w:r w:rsidRPr="007E6A5C">
        <w:rPr>
          <w:rFonts w:ascii="Calibri" w:eastAsia="Times New Roman" w:hAnsi="Calibri" w:cs="Calibri"/>
          <w:color w:val="111111"/>
        </w:rPr>
        <w:t> manager is required to provide signage indicating control zone boundaries and all restrictions required within the zone</w:t>
      </w:r>
    </w:p>
    <w:p w14:paraId="02DFDCAE" w14:textId="77777777" w:rsidR="007E6A5C" w:rsidRPr="007E6A5C" w:rsidRDefault="007E6A5C" w:rsidP="007E6A5C">
      <w:pPr>
        <w:numPr>
          <w:ilvl w:val="0"/>
          <w:numId w:val="1"/>
        </w:numPr>
        <w:spacing w:before="60" w:after="60" w:line="275" w:lineRule="atLeast"/>
        <w:ind w:left="960"/>
        <w:jc w:val="both"/>
        <w:rPr>
          <w:rFonts w:ascii="Calibri" w:eastAsia="Times New Roman" w:hAnsi="Calibri" w:cs="Calibri"/>
          <w:color w:val="111111"/>
        </w:rPr>
      </w:pPr>
      <w:r w:rsidRPr="007E6A5C">
        <w:rPr>
          <w:rFonts w:ascii="Calibri" w:eastAsia="Times New Roman" w:hAnsi="Calibri" w:cs="Calibri"/>
          <w:i/>
          <w:iCs/>
          <w:color w:val="111111"/>
        </w:rPr>
        <w:t>Identification, entrance criteria</w:t>
      </w:r>
      <w:r w:rsidRPr="007E6A5C">
        <w:rPr>
          <w:rFonts w:ascii="Calibri" w:eastAsia="Times New Roman" w:hAnsi="Calibri" w:cs="Calibri"/>
          <w:color w:val="111111"/>
        </w:rPr>
        <w:t>. Require pre-numbered wrist bands or other means of identifying persons who have met entrance criteria. Entrance criteria may include but are not limited to prohibiting persons from entering with weapons, beverage coolers, pets, excluding pets of residents who live within the control zone, exotic animals, skates, bicycles, fireworks, sparklers, bang snaps (snap and pops) smoke balls (smoke bombs), and fountains and other items which may be dangerous, disruptive, or inconvenient in crowded conditions, and prohibiting entry by persons appearing to be intoxicated.</w:t>
      </w:r>
    </w:p>
    <w:p w14:paraId="6121B755" w14:textId="77777777" w:rsidR="007E6A5C" w:rsidRPr="007E6A5C" w:rsidRDefault="007E6A5C" w:rsidP="007E6A5C">
      <w:pPr>
        <w:numPr>
          <w:ilvl w:val="0"/>
          <w:numId w:val="1"/>
        </w:numPr>
        <w:spacing w:before="60" w:after="60" w:line="275" w:lineRule="atLeast"/>
        <w:ind w:left="960"/>
        <w:jc w:val="both"/>
        <w:rPr>
          <w:rFonts w:ascii="Calibri" w:eastAsia="Times New Roman" w:hAnsi="Calibri" w:cs="Calibri"/>
          <w:color w:val="111111"/>
        </w:rPr>
      </w:pPr>
      <w:r w:rsidRPr="007E6A5C">
        <w:rPr>
          <w:rFonts w:ascii="Calibri" w:eastAsia="Times New Roman" w:hAnsi="Calibri" w:cs="Calibri"/>
          <w:i/>
          <w:iCs/>
          <w:color w:val="111111"/>
        </w:rPr>
        <w:t>Identification, consumption of </w:t>
      </w:r>
      <w:hyperlink r:id="rId15" w:tgtFrame="_blank" w:history="1">
        <w:r w:rsidRPr="007E6A5C">
          <w:rPr>
            <w:rFonts w:ascii="Calibri" w:eastAsia="Times New Roman" w:hAnsi="Calibri" w:cs="Calibri"/>
            <w:i/>
            <w:iCs/>
            <w:color w:val="000000"/>
            <w:u w:val="single"/>
          </w:rPr>
          <w:t>alcoholic beverages</w:t>
        </w:r>
      </w:hyperlink>
      <w:r w:rsidRPr="007E6A5C">
        <w:rPr>
          <w:rFonts w:ascii="Calibri" w:eastAsia="Times New Roman" w:hAnsi="Calibri" w:cs="Calibri"/>
          <w:color w:val="111111"/>
        </w:rPr>
        <w:t>. Require wrist bands or other means of identifying persons who have displayed proof of attaining the age of 21 years, and who are authorized to purchase or hold in possession alcoholic beverages within the control zone, outside of licensed alcoholic beverage establishments. A fee, as set by the mayor and aldermen, may be charged for such wrist band. Only persons who are authorized bar card holders may sell or disburse wristbands. Displaying such a wrist band does not relieve alcoholic beverage establishments of responsibility for determining if a person has attained the age of 21 years before dispensing alcohol to that person.</w:t>
      </w:r>
    </w:p>
    <w:p w14:paraId="65831397" w14:textId="77777777" w:rsidR="007E6A5C" w:rsidRPr="007E6A5C" w:rsidRDefault="007E6A5C" w:rsidP="007E6A5C">
      <w:pPr>
        <w:numPr>
          <w:ilvl w:val="0"/>
          <w:numId w:val="1"/>
        </w:numPr>
        <w:spacing w:before="60" w:after="60" w:line="275" w:lineRule="atLeast"/>
        <w:ind w:left="960"/>
        <w:jc w:val="both"/>
        <w:rPr>
          <w:rFonts w:ascii="Calibri" w:eastAsia="Times New Roman" w:hAnsi="Calibri" w:cs="Calibri"/>
          <w:color w:val="111111"/>
        </w:rPr>
      </w:pPr>
      <w:r w:rsidRPr="007E6A5C">
        <w:rPr>
          <w:rFonts w:ascii="Calibri" w:eastAsia="Times New Roman" w:hAnsi="Calibri" w:cs="Calibri"/>
          <w:i/>
          <w:iCs/>
          <w:color w:val="111111"/>
        </w:rPr>
        <w:t>Designation of festival manager within Control Zone</w:t>
      </w:r>
      <w:r w:rsidRPr="007E6A5C">
        <w:rPr>
          <w:rFonts w:ascii="Calibri" w:eastAsia="Times New Roman" w:hAnsi="Calibri" w:cs="Calibri"/>
          <w:color w:val="111111"/>
        </w:rPr>
        <w:t>. The mayor and aldermen may designate and authorize a non-profit tax-exempt organization or similar entity to organize and manage festival activities within a control zone. Such designation may include authorization to collect and expend funds, in which case paragraph (e) below will apply.</w:t>
      </w:r>
    </w:p>
    <w:p w14:paraId="70938548" w14:textId="77777777" w:rsidR="007E6A5C" w:rsidRPr="007E6A5C" w:rsidRDefault="007E6A5C" w:rsidP="007E6A5C">
      <w:pPr>
        <w:numPr>
          <w:ilvl w:val="0"/>
          <w:numId w:val="1"/>
        </w:numPr>
        <w:spacing w:before="60" w:after="60" w:line="275" w:lineRule="atLeast"/>
        <w:ind w:left="960"/>
        <w:jc w:val="both"/>
        <w:rPr>
          <w:rFonts w:ascii="Calibri" w:eastAsia="Times New Roman" w:hAnsi="Calibri" w:cs="Calibri"/>
          <w:color w:val="111111"/>
        </w:rPr>
      </w:pPr>
      <w:r w:rsidRPr="007E6A5C">
        <w:rPr>
          <w:rFonts w:ascii="Calibri" w:eastAsia="Times New Roman" w:hAnsi="Calibri" w:cs="Calibri"/>
          <w:i/>
          <w:iCs/>
          <w:color w:val="111111"/>
        </w:rPr>
        <w:t>Financial requirements, audit</w:t>
      </w:r>
      <w:r w:rsidRPr="007E6A5C">
        <w:rPr>
          <w:rFonts w:ascii="Calibri" w:eastAsia="Times New Roman" w:hAnsi="Calibri" w:cs="Calibri"/>
          <w:color w:val="111111"/>
        </w:rPr>
        <w:t xml:space="preserve">. Any organization designated and authorized to collect fees and generate revenues from the public in connection with such event shall, within 60 calendar days of conclusion of the event, provide to the city manager a, comprehensive audit that provides a full accounting of all revenues and expenditures associated with the event. The designated organization shall be required to maintain documentation supporting event revenues and expenditures. The city will have complete and free access to all such financial records at all reasonable times for purposes of review and audit. Any organization designated and authorized to collect fees and generate revenues from the sale of wristbands to the public in connection with such event shall, within 30 days of the conclusion of the event, provide the city manager </w:t>
      </w:r>
      <w:r w:rsidRPr="007E6A5C">
        <w:rPr>
          <w:rFonts w:ascii="Calibri" w:eastAsia="Times New Roman" w:hAnsi="Calibri" w:cs="Calibri"/>
          <w:color w:val="111111"/>
        </w:rPr>
        <w:lastRenderedPageBreak/>
        <w:t>with a certified report of the number of wristbands sold, return all unsold wristbands, and pay the city the agreed upon fee for each wristband sold (or otherwise unaccounted for).</w:t>
      </w:r>
    </w:p>
    <w:p w14:paraId="666D1DE7" w14:textId="77777777" w:rsidR="007E6A5C" w:rsidRPr="007E6A5C" w:rsidRDefault="007E6A5C" w:rsidP="007E6A5C">
      <w:pPr>
        <w:numPr>
          <w:ilvl w:val="0"/>
          <w:numId w:val="1"/>
        </w:numPr>
        <w:spacing w:before="60" w:after="60" w:line="275" w:lineRule="atLeast"/>
        <w:ind w:left="960"/>
        <w:jc w:val="both"/>
        <w:rPr>
          <w:rFonts w:ascii="Calibri" w:eastAsia="Times New Roman" w:hAnsi="Calibri" w:cs="Calibri"/>
          <w:color w:val="111111"/>
        </w:rPr>
      </w:pPr>
      <w:r w:rsidRPr="007E6A5C">
        <w:rPr>
          <w:rFonts w:ascii="Calibri" w:eastAsia="Times New Roman" w:hAnsi="Calibri" w:cs="Calibri"/>
          <w:i/>
          <w:iCs/>
          <w:color w:val="111111"/>
        </w:rPr>
        <w:t>Insurance</w:t>
      </w:r>
      <w:r w:rsidRPr="007E6A5C">
        <w:rPr>
          <w:rFonts w:ascii="Calibri" w:eastAsia="Times New Roman" w:hAnsi="Calibri" w:cs="Calibri"/>
          <w:color w:val="111111"/>
        </w:rPr>
        <w:t>. Any organization authorized to organize and manage festival activities within a controlled zone shall take out and keep in force for all activities associated with such event a special events liability policy. Such policy shall provide the following:</w:t>
      </w:r>
    </w:p>
    <w:p w14:paraId="032125C7" w14:textId="77777777" w:rsidR="007E6A5C" w:rsidRPr="007E6A5C" w:rsidRDefault="007E6A5C" w:rsidP="007E6A5C">
      <w:pPr>
        <w:numPr>
          <w:ilvl w:val="1"/>
          <w:numId w:val="1"/>
        </w:numPr>
        <w:spacing w:before="60" w:after="60" w:line="275" w:lineRule="atLeast"/>
        <w:ind w:left="2040"/>
        <w:jc w:val="both"/>
        <w:rPr>
          <w:rFonts w:ascii="Calibri" w:eastAsia="Times New Roman" w:hAnsi="Calibri" w:cs="Calibri"/>
          <w:color w:val="111111"/>
        </w:rPr>
      </w:pPr>
      <w:r w:rsidRPr="007E6A5C">
        <w:rPr>
          <w:rFonts w:ascii="Calibri" w:eastAsia="Times New Roman" w:hAnsi="Calibri" w:cs="Calibri"/>
          <w:color w:val="111111"/>
        </w:rPr>
        <w:t>Minimum coverage limits: $2,000,000 single-limit</w:t>
      </w:r>
    </w:p>
    <w:p w14:paraId="29B2E443" w14:textId="77777777" w:rsidR="007E6A5C" w:rsidRPr="007E6A5C" w:rsidRDefault="007E6A5C" w:rsidP="007E6A5C">
      <w:pPr>
        <w:numPr>
          <w:ilvl w:val="1"/>
          <w:numId w:val="1"/>
        </w:numPr>
        <w:spacing w:before="60" w:after="60" w:line="275" w:lineRule="atLeast"/>
        <w:ind w:left="2040"/>
        <w:jc w:val="both"/>
        <w:rPr>
          <w:rFonts w:ascii="Calibri" w:eastAsia="Times New Roman" w:hAnsi="Calibri" w:cs="Calibri"/>
          <w:color w:val="111111"/>
        </w:rPr>
      </w:pPr>
      <w:r w:rsidRPr="007E6A5C">
        <w:rPr>
          <w:rFonts w:ascii="Calibri" w:eastAsia="Times New Roman" w:hAnsi="Calibri" w:cs="Calibri"/>
          <w:color w:val="111111"/>
        </w:rPr>
        <w:t>Named as additional insured: Mayor and aldermen of the City of Savannah</w:t>
      </w:r>
    </w:p>
    <w:p w14:paraId="4EEBB52F" w14:textId="77777777" w:rsidR="007E6A5C" w:rsidRPr="007E6A5C" w:rsidRDefault="007E6A5C" w:rsidP="007E6A5C">
      <w:pPr>
        <w:numPr>
          <w:ilvl w:val="1"/>
          <w:numId w:val="1"/>
        </w:numPr>
        <w:spacing w:before="60" w:after="60" w:line="275" w:lineRule="atLeast"/>
        <w:ind w:left="2040"/>
        <w:jc w:val="both"/>
        <w:rPr>
          <w:rFonts w:ascii="Calibri" w:eastAsia="Times New Roman" w:hAnsi="Calibri" w:cs="Calibri"/>
          <w:color w:val="111111"/>
        </w:rPr>
      </w:pPr>
      <w:r w:rsidRPr="007E6A5C">
        <w:rPr>
          <w:rFonts w:ascii="Calibri" w:eastAsia="Times New Roman" w:hAnsi="Calibri" w:cs="Calibri"/>
          <w:color w:val="111111"/>
        </w:rPr>
        <w:t>Certificate of Insurance: A certificate of insurance shall be issued to the additional insured at least five days prior to the beginning of the event. Such certificate shall be on a standard form and will provide for notification of the additional insured within 10 days of termination of coverage.</w:t>
      </w:r>
    </w:p>
    <w:p w14:paraId="4392AA8F" w14:textId="77777777" w:rsidR="007E6A5C" w:rsidRPr="007E6A5C" w:rsidRDefault="007E6A5C" w:rsidP="007E6A5C">
      <w:pPr>
        <w:spacing w:before="120" w:after="120" w:line="275" w:lineRule="atLeast"/>
        <w:jc w:val="both"/>
        <w:rPr>
          <w:rFonts w:ascii="Calibri" w:eastAsia="Times New Roman" w:hAnsi="Calibri" w:cs="Calibri"/>
          <w:color w:val="111111"/>
        </w:rPr>
      </w:pPr>
      <w:r w:rsidRPr="007E6A5C">
        <w:rPr>
          <w:rFonts w:ascii="Calibri" w:eastAsia="Times New Roman" w:hAnsi="Calibri" w:cs="Calibri"/>
          <w:color w:val="111111"/>
        </w:rPr>
        <w:t>( </w:t>
      </w:r>
      <w:hyperlink r:id="rId16" w:history="1">
        <w:r w:rsidRPr="007E6A5C">
          <w:rPr>
            <w:rFonts w:ascii="Calibri" w:eastAsia="Times New Roman" w:hAnsi="Calibri" w:cs="Calibri"/>
            <w:color w:val="000080"/>
            <w:u w:val="single"/>
          </w:rPr>
          <w:t>Ord. of 2-21-2013(1)</w:t>
        </w:r>
      </w:hyperlink>
      <w:r w:rsidRPr="007E6A5C">
        <w:rPr>
          <w:rFonts w:ascii="Calibri" w:eastAsia="Times New Roman" w:hAnsi="Calibri" w:cs="Calibri"/>
          <w:color w:val="111111"/>
        </w:rPr>
        <w:t> )</w:t>
      </w:r>
    </w:p>
    <w:p w14:paraId="6CA60BA9" w14:textId="2F1ABA8A" w:rsidR="007E6A5C" w:rsidRPr="00A57A03" w:rsidRDefault="007E6A5C" w:rsidP="007E6A5C">
      <w:pPr>
        <w:spacing w:before="240" w:after="0" w:line="240" w:lineRule="auto"/>
        <w:outlineLvl w:val="4"/>
        <w:rPr>
          <w:rFonts w:ascii="Calibri" w:eastAsia="Times New Roman" w:hAnsi="Calibri" w:cs="Calibri"/>
          <w:b/>
          <w:bCs/>
        </w:rPr>
      </w:pPr>
      <w:r w:rsidRPr="007E6A5C">
        <w:rPr>
          <w:rFonts w:ascii="Calibri" w:eastAsia="Times New Roman" w:hAnsi="Calibri" w:cs="Calibri"/>
          <w:b/>
          <w:bCs/>
          <w:color w:val="111111"/>
        </w:rPr>
        <w:t>Sec. 6-2426. - Restricting hours of alcohol sales</w:t>
      </w:r>
      <w:r w:rsidR="00A66AE2" w:rsidRPr="00B43724">
        <w:rPr>
          <w:rFonts w:ascii="Calibri" w:eastAsia="Times New Roman" w:hAnsi="Calibri" w:cs="Calibri"/>
          <w:b/>
          <w:bCs/>
          <w:color w:val="111111"/>
        </w:rPr>
        <w:t xml:space="preserve"> </w:t>
      </w:r>
      <w:r w:rsidR="00A66AE2" w:rsidRPr="00A57A03">
        <w:rPr>
          <w:rFonts w:ascii="Calibri" w:eastAsia="Times New Roman" w:hAnsi="Calibri" w:cs="Calibri"/>
          <w:b/>
          <w:bCs/>
        </w:rPr>
        <w:t xml:space="preserve">and parking permits for </w:t>
      </w:r>
      <w:r w:rsidR="00B43724" w:rsidRPr="00A57A03">
        <w:rPr>
          <w:rFonts w:ascii="Calibri" w:eastAsia="Times New Roman" w:hAnsi="Calibri" w:cs="Calibri"/>
          <w:b/>
          <w:bCs/>
        </w:rPr>
        <w:t>out-of-town</w:t>
      </w:r>
      <w:r w:rsidR="00A66AE2" w:rsidRPr="00A57A03">
        <w:rPr>
          <w:rFonts w:ascii="Calibri" w:eastAsia="Times New Roman" w:hAnsi="Calibri" w:cs="Calibri"/>
          <w:b/>
          <w:bCs/>
        </w:rPr>
        <w:t xml:space="preserve"> motorcoaches</w:t>
      </w:r>
      <w:r w:rsidRPr="00A57A03">
        <w:rPr>
          <w:rFonts w:ascii="Calibri" w:eastAsia="Times New Roman" w:hAnsi="Calibri" w:cs="Calibri"/>
          <w:b/>
          <w:bCs/>
        </w:rPr>
        <w:t>.</w:t>
      </w:r>
    </w:p>
    <w:p w14:paraId="35825A05" w14:textId="2044E8D6" w:rsidR="00A66AE2" w:rsidRPr="00A57A03" w:rsidRDefault="00DD7059" w:rsidP="00A66AE2">
      <w:pPr>
        <w:pStyle w:val="ListParagraph"/>
        <w:numPr>
          <w:ilvl w:val="0"/>
          <w:numId w:val="4"/>
        </w:numPr>
        <w:spacing w:before="120" w:after="120" w:line="275" w:lineRule="atLeast"/>
        <w:jc w:val="both"/>
        <w:rPr>
          <w:rFonts w:ascii="Calibri" w:eastAsia="Times New Roman" w:hAnsi="Calibri" w:cs="Calibri"/>
        </w:rPr>
      </w:pPr>
      <w:r w:rsidRPr="00A57A03">
        <w:rPr>
          <w:rFonts w:ascii="Calibri" w:eastAsia="Times New Roman" w:hAnsi="Calibri" w:cs="Calibri"/>
        </w:rPr>
        <w:t>There</w:t>
      </w:r>
      <w:r w:rsidR="007E6A5C" w:rsidRPr="00A57A03">
        <w:rPr>
          <w:rFonts w:ascii="Calibri" w:eastAsia="Times New Roman" w:hAnsi="Calibri" w:cs="Calibri"/>
        </w:rPr>
        <w:t xml:space="preserve"> shall be no outdoor dispensing of alcoholic beverages</w:t>
      </w:r>
      <w:r w:rsidRPr="00A57A03">
        <w:rPr>
          <w:rFonts w:ascii="Calibri" w:eastAsia="Times New Roman" w:hAnsi="Calibri" w:cs="Calibri"/>
        </w:rPr>
        <w:t xml:space="preserve"> within the designated </w:t>
      </w:r>
      <w:r w:rsidR="00A66AE2" w:rsidRPr="00A57A03">
        <w:rPr>
          <w:rFonts w:ascii="Calibri" w:eastAsia="Times New Roman" w:hAnsi="Calibri" w:cs="Calibri"/>
        </w:rPr>
        <w:t>to go cup zone</w:t>
      </w:r>
      <w:r w:rsidRPr="00A57A03">
        <w:rPr>
          <w:rFonts w:ascii="Calibri" w:eastAsia="Times New Roman" w:hAnsi="Calibri" w:cs="Calibri"/>
        </w:rPr>
        <w:t>.</w:t>
      </w:r>
    </w:p>
    <w:p w14:paraId="5E2D2AFA" w14:textId="77777777" w:rsidR="00A66AE2" w:rsidRPr="00A57A03" w:rsidRDefault="00A66AE2" w:rsidP="00A66AE2">
      <w:pPr>
        <w:pStyle w:val="ListParagraph"/>
        <w:spacing w:before="120" w:after="120" w:line="275" w:lineRule="atLeast"/>
        <w:jc w:val="both"/>
        <w:rPr>
          <w:rFonts w:ascii="Calibri" w:eastAsia="Times New Roman" w:hAnsi="Calibri" w:cs="Calibri"/>
        </w:rPr>
      </w:pPr>
    </w:p>
    <w:p w14:paraId="210F5492" w14:textId="284D770B" w:rsidR="00A66AE2" w:rsidRPr="00A57A03" w:rsidRDefault="00A66AE2" w:rsidP="00A66AE2">
      <w:pPr>
        <w:pStyle w:val="ListParagraph"/>
        <w:numPr>
          <w:ilvl w:val="0"/>
          <w:numId w:val="4"/>
        </w:numPr>
        <w:spacing w:after="0" w:line="240" w:lineRule="auto"/>
        <w:contextualSpacing w:val="0"/>
        <w:rPr>
          <w:rFonts w:eastAsia="Times New Roman"/>
        </w:rPr>
      </w:pPr>
      <w:r w:rsidRPr="00A57A03">
        <w:rPr>
          <w:rFonts w:eastAsia="Times New Roman"/>
        </w:rPr>
        <w:t xml:space="preserve">The City of Savannah will not issue any out-of-town motorcoach parking permits in the To Go Cup </w:t>
      </w:r>
      <w:r w:rsidR="00B43724" w:rsidRPr="00A57A03">
        <w:rPr>
          <w:rFonts w:eastAsia="Times New Roman"/>
        </w:rPr>
        <w:t>Zone</w:t>
      </w:r>
      <w:r w:rsidRPr="00A57A03">
        <w:rPr>
          <w:rFonts w:eastAsia="Times New Roman"/>
        </w:rPr>
        <w:t xml:space="preserve"> during the period of time in which the Festival Ordinance has been enacted by the Mayor and Aldermen.  This provision does not apply to local transportation service companies that provide shuttle services.  These companies must register with the City of Savannah and will be required to provide, at a minimum, routes and pick up and drop off locations and times.</w:t>
      </w:r>
    </w:p>
    <w:p w14:paraId="684388BC" w14:textId="77777777" w:rsidR="00A66AE2" w:rsidRPr="00A66AE2" w:rsidRDefault="00A66AE2" w:rsidP="00A66AE2">
      <w:pPr>
        <w:spacing w:before="120" w:after="120" w:line="275" w:lineRule="atLeast"/>
        <w:ind w:left="360"/>
        <w:jc w:val="both"/>
        <w:rPr>
          <w:rFonts w:ascii="Calibri" w:eastAsia="Times New Roman" w:hAnsi="Calibri" w:cs="Calibri"/>
          <w:color w:val="FF0000"/>
        </w:rPr>
      </w:pPr>
    </w:p>
    <w:p w14:paraId="07CB18A3" w14:textId="77777777" w:rsidR="00A66AE2" w:rsidRDefault="00A66AE2" w:rsidP="007E6A5C">
      <w:pPr>
        <w:spacing w:before="120" w:after="120" w:line="275" w:lineRule="atLeast"/>
        <w:jc w:val="both"/>
      </w:pPr>
    </w:p>
    <w:sectPr w:rsidR="00A66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7F24"/>
    <w:multiLevelType w:val="hybridMultilevel"/>
    <w:tmpl w:val="9CB42F74"/>
    <w:lvl w:ilvl="0" w:tplc="6166EC8E">
      <w:start w:val="1"/>
      <w:numFmt w:val="lowerLetter"/>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E11B4"/>
    <w:multiLevelType w:val="hybridMultilevel"/>
    <w:tmpl w:val="9EF0E614"/>
    <w:lvl w:ilvl="0" w:tplc="02445CB2">
      <w:start w:val="1"/>
      <w:numFmt w:val="lowerLetter"/>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B31AB"/>
    <w:multiLevelType w:val="multilevel"/>
    <w:tmpl w:val="70B666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D2C485E"/>
    <w:multiLevelType w:val="hybridMultilevel"/>
    <w:tmpl w:val="391093B4"/>
    <w:lvl w:ilvl="0" w:tplc="21F413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6565136">
    <w:abstractNumId w:val="2"/>
  </w:num>
  <w:num w:numId="2" w16cid:durableId="476147235">
    <w:abstractNumId w:val="1"/>
  </w:num>
  <w:num w:numId="3" w16cid:durableId="1302270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230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5C"/>
    <w:rsid w:val="00103F43"/>
    <w:rsid w:val="002A04CA"/>
    <w:rsid w:val="00692E42"/>
    <w:rsid w:val="007E6A5C"/>
    <w:rsid w:val="00867194"/>
    <w:rsid w:val="008A2095"/>
    <w:rsid w:val="008B4276"/>
    <w:rsid w:val="008E0739"/>
    <w:rsid w:val="00A41AD2"/>
    <w:rsid w:val="00A57A03"/>
    <w:rsid w:val="00A66AE2"/>
    <w:rsid w:val="00B43724"/>
    <w:rsid w:val="00C8157B"/>
    <w:rsid w:val="00C975DF"/>
    <w:rsid w:val="00CC5F7E"/>
    <w:rsid w:val="00D3761F"/>
    <w:rsid w:val="00D756DF"/>
    <w:rsid w:val="00DD7059"/>
    <w:rsid w:val="00FD3FF7"/>
    <w:rsid w:val="00FD5A19"/>
    <w:rsid w:val="3EF9E955"/>
    <w:rsid w:val="4E94B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CB11"/>
  <w15:chartTrackingRefBased/>
  <w15:docId w15:val="{CE368632-0E73-42B1-9096-71C7483B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095"/>
    <w:rPr>
      <w:color w:val="0563C1" w:themeColor="hyperlink"/>
      <w:u w:val="single"/>
    </w:rPr>
  </w:style>
  <w:style w:type="paragraph" w:styleId="ListParagraph">
    <w:name w:val="List Paragraph"/>
    <w:basedOn w:val="Normal"/>
    <w:uiPriority w:val="34"/>
    <w:qFormat/>
    <w:rsid w:val="00D75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8133">
      <w:bodyDiv w:val="1"/>
      <w:marLeft w:val="0"/>
      <w:marRight w:val="0"/>
      <w:marTop w:val="0"/>
      <w:marBottom w:val="0"/>
      <w:divBdr>
        <w:top w:val="none" w:sz="0" w:space="0" w:color="auto"/>
        <w:left w:val="none" w:sz="0" w:space="0" w:color="auto"/>
        <w:bottom w:val="none" w:sz="0" w:space="0" w:color="auto"/>
        <w:right w:val="none" w:sz="0" w:space="0" w:color="auto"/>
      </w:divBdr>
    </w:div>
    <w:div w:id="723524791">
      <w:bodyDiv w:val="1"/>
      <w:marLeft w:val="0"/>
      <w:marRight w:val="0"/>
      <w:marTop w:val="0"/>
      <w:marBottom w:val="0"/>
      <w:divBdr>
        <w:top w:val="none" w:sz="0" w:space="0" w:color="auto"/>
        <w:left w:val="none" w:sz="0" w:space="0" w:color="auto"/>
        <w:bottom w:val="none" w:sz="0" w:space="0" w:color="auto"/>
        <w:right w:val="none" w:sz="0" w:space="0" w:color="auto"/>
      </w:divBdr>
    </w:div>
    <w:div w:id="1221944689">
      <w:bodyDiv w:val="1"/>
      <w:marLeft w:val="0"/>
      <w:marRight w:val="0"/>
      <w:marTop w:val="0"/>
      <w:marBottom w:val="0"/>
      <w:divBdr>
        <w:top w:val="none" w:sz="0" w:space="0" w:color="auto"/>
        <w:left w:val="none" w:sz="0" w:space="0" w:color="auto"/>
        <w:bottom w:val="none" w:sz="0" w:space="0" w:color="auto"/>
        <w:right w:val="none" w:sz="0" w:space="0" w:color="auto"/>
      </w:divBdr>
    </w:div>
    <w:div w:id="1245644559">
      <w:bodyDiv w:val="1"/>
      <w:marLeft w:val="0"/>
      <w:marRight w:val="0"/>
      <w:marTop w:val="0"/>
      <w:marBottom w:val="0"/>
      <w:divBdr>
        <w:top w:val="none" w:sz="0" w:space="0" w:color="auto"/>
        <w:left w:val="none" w:sz="0" w:space="0" w:color="auto"/>
        <w:bottom w:val="none" w:sz="0" w:space="0" w:color="auto"/>
        <w:right w:val="none" w:sz="0" w:space="0" w:color="auto"/>
      </w:divBdr>
    </w:div>
    <w:div w:id="20237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encodeplus.com/regs/savannah-ga/doc-view.aspx?pn=0&amp;ajax=0&amp;secid=4428" TargetMode="External"/><Relationship Id="rId13" Type="http://schemas.openxmlformats.org/officeDocument/2006/relationships/hyperlink" Target="http://online.encodeplus.com/regs/savannah-ga/doc-view.aspx?pn=0&amp;ajax=0&amp;secid=442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encodeplus.com/regs/savannah-ga/doclibrary.aspx?id=0849a0c5-fad4-4c93-b316-7eb30fdbc1af" TargetMode="External"/><Relationship Id="rId12" Type="http://schemas.openxmlformats.org/officeDocument/2006/relationships/hyperlink" Target="http://online.encodeplus.com/regs/savannah-ga/doc-view.aspx?pn=0&amp;ajax=0&amp;secid=44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encodeplus.com/regs/savannah-ga/doclibrary.aspx?id=0849a0c5-fad4-4c93-b316-7eb30fdbc1af" TargetMode="External"/><Relationship Id="rId1" Type="http://schemas.openxmlformats.org/officeDocument/2006/relationships/numbering" Target="numbering.xml"/><Relationship Id="rId6" Type="http://schemas.openxmlformats.org/officeDocument/2006/relationships/hyperlink" Target="http://online.encodeplus.com/regs/savannah-ga/doclibrary.aspx?id=0849a0c5-fad4-4c93-b316-7eb30fdbc1af" TargetMode="External"/><Relationship Id="rId11" Type="http://schemas.openxmlformats.org/officeDocument/2006/relationships/hyperlink" Target="http://online.encodeplus.com/regs/savannah-ga/doclibrary.aspx?id=0849a0c5-fad4-4c93-b316-7eb30fdbc1af" TargetMode="External"/><Relationship Id="rId5" Type="http://schemas.openxmlformats.org/officeDocument/2006/relationships/hyperlink" Target="http://online.encodeplus.com/regs/savannah-ga/doc-view.aspx?pn=0&amp;ajax=0&amp;secid=4428" TargetMode="External"/><Relationship Id="rId15" Type="http://schemas.openxmlformats.org/officeDocument/2006/relationships/hyperlink" Target="http://online.encodeplus.com/regs/savannah-ga/doc-view.aspx?pn=0&amp;ajax=0&amp;secid=4431" TargetMode="External"/><Relationship Id="rId10" Type="http://schemas.openxmlformats.org/officeDocument/2006/relationships/hyperlink" Target="http://online.encodeplus.com/regs/savannah-ga/doc-view.aspx?pn=0&amp;ajax=0&amp;secid=4429" TargetMode="External"/><Relationship Id="rId4" Type="http://schemas.openxmlformats.org/officeDocument/2006/relationships/webSettings" Target="webSettings.xml"/><Relationship Id="rId9" Type="http://schemas.openxmlformats.org/officeDocument/2006/relationships/hyperlink" Target="http://online.encodeplus.com/regs/savannah-ga/doclibrary.aspx?id=0849a0c5-fad4-4c93-b316-7eb30fdbc1af" TargetMode="External"/><Relationship Id="rId14" Type="http://schemas.openxmlformats.org/officeDocument/2006/relationships/hyperlink" Target="http://online.encodeplus.com/regs/savannah-ga/doc-view.aspx?pn=0&amp;ajax=0&amp;secid=4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Broker</dc:creator>
  <cp:keywords/>
  <dc:description/>
  <cp:lastModifiedBy>Susan Broker</cp:lastModifiedBy>
  <cp:revision>2</cp:revision>
  <dcterms:created xsi:type="dcterms:W3CDTF">2023-02-24T19:47:00Z</dcterms:created>
  <dcterms:modified xsi:type="dcterms:W3CDTF">2023-02-24T19:47:00Z</dcterms:modified>
</cp:coreProperties>
</file>