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7E04C" w14:textId="77777777" w:rsidR="00AD1CC2" w:rsidRDefault="00DE2104" w:rsidP="00AD1CC2">
      <w:pPr>
        <w:spacing w:after="549" w:line="226" w:lineRule="auto"/>
        <w:ind w:right="868"/>
        <w:jc w:val="right"/>
        <w:rPr>
          <w:u w:val="single"/>
        </w:rPr>
      </w:pPr>
      <w:r>
        <w:rPr>
          <w:u w:val="single"/>
        </w:rPr>
        <w:t>Telfair Draft: 10.24.2023</w:t>
      </w:r>
    </w:p>
    <w:p w14:paraId="460D5FAC" w14:textId="4D6404C5" w:rsidR="00115521" w:rsidRPr="003379BB" w:rsidRDefault="00751CAD" w:rsidP="00AD1CC2">
      <w:pPr>
        <w:spacing w:after="549" w:line="226" w:lineRule="auto"/>
        <w:ind w:right="868"/>
        <w:jc w:val="center"/>
        <w:rPr>
          <w:u w:val="single"/>
        </w:rPr>
      </w:pPr>
      <w:r>
        <w:rPr>
          <w:u w:val="single"/>
        </w:rPr>
        <w:t>D</w:t>
      </w:r>
      <w:r w:rsidR="00115521" w:rsidRPr="003379BB">
        <w:rPr>
          <w:u w:val="single"/>
        </w:rPr>
        <w:t>evelopment and Limited Use Agreement</w:t>
      </w:r>
    </w:p>
    <w:p w14:paraId="69B5632E" w14:textId="34B02BEC" w:rsidR="00884B05" w:rsidRDefault="007C6251" w:rsidP="00884B05">
      <w:pPr>
        <w:spacing w:after="549" w:line="226" w:lineRule="auto"/>
        <w:ind w:right="868"/>
        <w:rPr>
          <w:u w:val="single"/>
        </w:rPr>
      </w:pPr>
      <w:r>
        <w:t>This agreement (“</w:t>
      </w:r>
      <w:r w:rsidRPr="00EF6159">
        <w:rPr>
          <w:u w:val="single"/>
        </w:rPr>
        <w:t>Agreement</w:t>
      </w:r>
      <w:r>
        <w:t xml:space="preserve">”) is entered into </w:t>
      </w:r>
      <w:r w:rsidR="00884B05">
        <w:t>effective as of _____________, 2023 (the “</w:t>
      </w:r>
      <w:r w:rsidR="00884B05" w:rsidRPr="00EF6159">
        <w:rPr>
          <w:u w:val="single"/>
        </w:rPr>
        <w:t>Effective</w:t>
      </w:r>
      <w:r w:rsidR="00884B05">
        <w:t xml:space="preserve"> Date”) </w:t>
      </w:r>
      <w:r>
        <w:t>by and between the Mayor and Aldermen of the City of Savannah, Georgia (the "</w:t>
      </w:r>
      <w:r w:rsidRPr="00413507">
        <w:rPr>
          <w:u w:val="single"/>
        </w:rPr>
        <w:t>City</w:t>
      </w:r>
      <w:r>
        <w:t>") and The Telfair Museum of Art, Inc. ("</w:t>
      </w:r>
      <w:r w:rsidRPr="00413507">
        <w:rPr>
          <w:u w:val="single"/>
        </w:rPr>
        <w:t>Telfair</w:t>
      </w:r>
      <w:r>
        <w:t xml:space="preserve">"), </w:t>
      </w:r>
      <w:r w:rsidR="00585BD8">
        <w:t>each a “</w:t>
      </w:r>
      <w:r w:rsidR="00585BD8" w:rsidRPr="00585BD8">
        <w:rPr>
          <w:u w:val="single"/>
        </w:rPr>
        <w:t>Party</w:t>
      </w:r>
      <w:r w:rsidR="00585BD8">
        <w:t xml:space="preserve">” and </w:t>
      </w:r>
      <w:r>
        <w:t>collectively the “</w:t>
      </w:r>
      <w:r w:rsidRPr="00413507">
        <w:rPr>
          <w:u w:val="single"/>
        </w:rPr>
        <w:t>Parties</w:t>
      </w:r>
      <w:r w:rsidR="00434773">
        <w:t>.</w:t>
      </w:r>
      <w:r>
        <w:t xml:space="preserve">” </w:t>
      </w:r>
    </w:p>
    <w:p w14:paraId="46B73FFD" w14:textId="15333CEF" w:rsidR="00A22E06" w:rsidRPr="00884B05" w:rsidRDefault="00A22E06" w:rsidP="00884B05">
      <w:pPr>
        <w:spacing w:after="549" w:line="226" w:lineRule="auto"/>
        <w:ind w:right="868"/>
        <w:jc w:val="center"/>
        <w:rPr>
          <w:u w:val="single"/>
        </w:rPr>
      </w:pPr>
      <w:r w:rsidRPr="00CC1D76">
        <w:rPr>
          <w:u w:val="single"/>
        </w:rPr>
        <w:t>RECITALS</w:t>
      </w:r>
    </w:p>
    <w:p w14:paraId="6EE1F6D8" w14:textId="15C4465C" w:rsidR="00CC1D76" w:rsidRDefault="00C17693" w:rsidP="00A3668A">
      <w:pPr>
        <w:pStyle w:val="ListParagraph"/>
        <w:numPr>
          <w:ilvl w:val="0"/>
          <w:numId w:val="4"/>
        </w:numPr>
        <w:spacing w:after="274" w:line="236" w:lineRule="auto"/>
        <w:ind w:right="835"/>
      </w:pPr>
      <w:r>
        <w:t>The</w:t>
      </w:r>
      <w:r w:rsidR="00CC1D76">
        <w:t xml:space="preserve"> City of Savannah is a municipal corporation of the State of Georgia</w:t>
      </w:r>
      <w:r w:rsidR="009E5893">
        <w:t>.</w:t>
      </w:r>
    </w:p>
    <w:p w14:paraId="32AE2EAB" w14:textId="1F045CEE" w:rsidR="00CC1D76" w:rsidRDefault="0023559C" w:rsidP="00A3668A">
      <w:pPr>
        <w:pStyle w:val="ListParagraph"/>
        <w:numPr>
          <w:ilvl w:val="0"/>
          <w:numId w:val="4"/>
        </w:numPr>
        <w:spacing w:after="274" w:line="236" w:lineRule="auto"/>
        <w:ind w:right="835"/>
      </w:pPr>
      <w:r>
        <w:t>Telfair is a non-profit corporation with tax exempt status from the Internal Revenue</w:t>
      </w:r>
      <w:r w:rsidR="001D7D2D">
        <w:t xml:space="preserve"> </w:t>
      </w:r>
      <w:r>
        <w:t xml:space="preserve">Service under Section 501(c)(3) of the United States Internal Revenue Code </w:t>
      </w:r>
      <w:r w:rsidR="004C2D31">
        <w:t xml:space="preserve">and was </w:t>
      </w:r>
      <w:r>
        <w:t xml:space="preserve">organized for the purpose of </w:t>
      </w:r>
      <w:r w:rsidR="001D7D2D">
        <w:t xml:space="preserve">operating the </w:t>
      </w:r>
      <w:r w:rsidR="001D7D2D" w:rsidRPr="001D7D2D">
        <w:t>Telfair Academy of Arts and Sciences, Owens-Thomas House, and Jepson Center for the Arts</w:t>
      </w:r>
      <w:r w:rsidR="009E5893">
        <w:t>.</w:t>
      </w:r>
    </w:p>
    <w:p w14:paraId="1B554748" w14:textId="5FC67FA0" w:rsidR="00904F65" w:rsidRDefault="001D7D2D" w:rsidP="00A3668A">
      <w:pPr>
        <w:pStyle w:val="ListParagraph"/>
        <w:numPr>
          <w:ilvl w:val="0"/>
          <w:numId w:val="4"/>
        </w:numPr>
        <w:spacing w:after="274" w:line="236" w:lineRule="auto"/>
        <w:ind w:right="835"/>
      </w:pPr>
      <w:r>
        <w:t>Telfair Square (the "</w:t>
      </w:r>
      <w:r w:rsidRPr="00413507">
        <w:rPr>
          <w:u w:val="single"/>
        </w:rPr>
        <w:t>Square</w:t>
      </w:r>
      <w:r>
        <w:t>") is a</w:t>
      </w:r>
      <w:r w:rsidR="00904F65">
        <w:t>n</w:t>
      </w:r>
      <w:r>
        <w:t xml:space="preserve"> asset of the City </w:t>
      </w:r>
      <w:r w:rsidR="00904F65">
        <w:t>located adjacent to the Telfair Academy</w:t>
      </w:r>
      <w:r w:rsidR="00232B14">
        <w:t xml:space="preserve"> </w:t>
      </w:r>
      <w:r w:rsidR="00904F65">
        <w:t>of Arts and Sciences and the Jepson Center for the Arts.</w:t>
      </w:r>
    </w:p>
    <w:p w14:paraId="23C0D570" w14:textId="62F6AAAE" w:rsidR="00CC1D76" w:rsidRDefault="00904F65" w:rsidP="00A3668A">
      <w:pPr>
        <w:pStyle w:val="ListParagraph"/>
        <w:numPr>
          <w:ilvl w:val="0"/>
          <w:numId w:val="4"/>
        </w:numPr>
        <w:spacing w:after="274" w:line="236" w:lineRule="auto"/>
        <w:ind w:right="835"/>
      </w:pPr>
      <w:r>
        <w:t>Telfair desires to fund and execute a</w:t>
      </w:r>
      <w:r w:rsidR="00727AA2">
        <w:t xml:space="preserve"> </w:t>
      </w:r>
      <w:r w:rsidR="00376B13">
        <w:t>Master Plan</w:t>
      </w:r>
      <w:r w:rsidR="00727AA2">
        <w:t xml:space="preserve"> for improving the Square to </w:t>
      </w:r>
      <w:r w:rsidR="001A0D71">
        <w:t>better serve the community as a public space and accommodate use by Telfair</w:t>
      </w:r>
      <w:r w:rsidR="0026433B">
        <w:t xml:space="preserve"> and the public</w:t>
      </w:r>
      <w:r w:rsidR="001A0D71">
        <w:t xml:space="preserve"> for </w:t>
      </w:r>
      <w:r w:rsidR="00FB0F3B">
        <w:t xml:space="preserve">year-round </w:t>
      </w:r>
      <w:r w:rsidR="00FB0F3B" w:rsidRPr="00FB0F3B">
        <w:t>programming</w:t>
      </w:r>
      <w:r w:rsidR="005F7483">
        <w:t>.</w:t>
      </w:r>
    </w:p>
    <w:p w14:paraId="27B47BFE" w14:textId="451BB89C" w:rsidR="007C4ACD" w:rsidRDefault="00CC1D76" w:rsidP="00A3668A">
      <w:pPr>
        <w:pStyle w:val="ListParagraph"/>
        <w:numPr>
          <w:ilvl w:val="0"/>
          <w:numId w:val="4"/>
        </w:numPr>
        <w:spacing w:after="274" w:line="236" w:lineRule="auto"/>
        <w:ind w:right="835"/>
      </w:pPr>
      <w:r>
        <w:t xml:space="preserve">The City and </w:t>
      </w:r>
      <w:r w:rsidR="004D42AF">
        <w:t>Telfair</w:t>
      </w:r>
      <w:r>
        <w:t xml:space="preserve"> wish to formalize </w:t>
      </w:r>
      <w:r w:rsidR="00821D09">
        <w:t>their mutual understanding</w:t>
      </w:r>
      <w:r>
        <w:t xml:space="preserve"> </w:t>
      </w:r>
      <w:r w:rsidR="00821D09">
        <w:t xml:space="preserve">concerning improvements to, use of and stewardship of the </w:t>
      </w:r>
      <w:r w:rsidR="006D5D49">
        <w:t>Square.</w:t>
      </w:r>
    </w:p>
    <w:p w14:paraId="15A5C3D5" w14:textId="1724C318" w:rsidR="001F60CF" w:rsidRDefault="00B833F7" w:rsidP="005A4C0E">
      <w:pPr>
        <w:spacing w:after="523" w:line="236" w:lineRule="auto"/>
        <w:ind w:left="58" w:right="941" w:hanging="10"/>
      </w:pPr>
      <w:r>
        <w:t xml:space="preserve">NOW THEREFORE, in consideration of the mutual covenants, promises and commitments herein, the </w:t>
      </w:r>
      <w:r w:rsidR="002737BD">
        <w:t>P</w:t>
      </w:r>
      <w:r>
        <w:t>arties agree as follows:</w:t>
      </w:r>
    </w:p>
    <w:p w14:paraId="505DECAE" w14:textId="237B9BF0" w:rsidR="007C4ACD" w:rsidRDefault="00901638" w:rsidP="00A3668A">
      <w:pPr>
        <w:pStyle w:val="ListParagraph"/>
        <w:numPr>
          <w:ilvl w:val="0"/>
          <w:numId w:val="6"/>
        </w:numPr>
        <w:spacing w:after="257" w:line="247" w:lineRule="auto"/>
        <w:ind w:right="874"/>
      </w:pPr>
      <w:r w:rsidRPr="001F60CF">
        <w:rPr>
          <w:u w:val="single"/>
        </w:rPr>
        <w:t>Master Plan</w:t>
      </w:r>
      <w:r w:rsidR="00E4336E" w:rsidRPr="001F60CF">
        <w:rPr>
          <w:u w:val="single"/>
        </w:rPr>
        <w:t xml:space="preserve"> Development</w:t>
      </w:r>
      <w:r w:rsidR="00E4336E">
        <w:t>.</w:t>
      </w:r>
    </w:p>
    <w:p w14:paraId="06C70DD4" w14:textId="7B222F6E" w:rsidR="00A806E8" w:rsidRDefault="004D42AF" w:rsidP="00C5791D">
      <w:pPr>
        <w:pStyle w:val="ListParagraph"/>
        <w:numPr>
          <w:ilvl w:val="1"/>
          <w:numId w:val="6"/>
        </w:numPr>
        <w:spacing w:after="257" w:line="247" w:lineRule="auto"/>
        <w:ind w:right="874"/>
      </w:pPr>
      <w:r>
        <w:t xml:space="preserve">Telfair will </w:t>
      </w:r>
      <w:r w:rsidR="00E470BA">
        <w:t xml:space="preserve">select and </w:t>
      </w:r>
      <w:r w:rsidR="00D850B0">
        <w:t xml:space="preserve">engage at its expense an urban design firm </w:t>
      </w:r>
      <w:r w:rsidR="00EF6159">
        <w:t>(the “</w:t>
      </w:r>
      <w:r w:rsidR="00EF6159" w:rsidRPr="00EF6159">
        <w:rPr>
          <w:u w:val="single"/>
        </w:rPr>
        <w:t>Design Firm</w:t>
      </w:r>
      <w:r w:rsidR="00EF6159">
        <w:t xml:space="preserve">”) </w:t>
      </w:r>
      <w:r w:rsidR="00D850B0">
        <w:t xml:space="preserve">to develop a </w:t>
      </w:r>
      <w:r w:rsidR="00EF6159">
        <w:t xml:space="preserve">proposed </w:t>
      </w:r>
      <w:r w:rsidR="00933CD0">
        <w:t>m</w:t>
      </w:r>
      <w:r w:rsidR="00D850B0">
        <w:t xml:space="preserve">aster </w:t>
      </w:r>
      <w:r w:rsidR="00933CD0">
        <w:t>p</w:t>
      </w:r>
      <w:r w:rsidR="00D850B0">
        <w:t>lan for the Square</w:t>
      </w:r>
      <w:r w:rsidR="00933CD0">
        <w:t xml:space="preserve"> (the “</w:t>
      </w:r>
      <w:r w:rsidR="00933CD0" w:rsidRPr="00933CD0">
        <w:rPr>
          <w:u w:val="single"/>
        </w:rPr>
        <w:t>Master Plan</w:t>
      </w:r>
      <w:r w:rsidR="00933CD0">
        <w:t xml:space="preserve">”).  </w:t>
      </w:r>
    </w:p>
    <w:p w14:paraId="390E091C" w14:textId="741383B4" w:rsidR="00A806E8" w:rsidRDefault="00933CD0" w:rsidP="00901638">
      <w:pPr>
        <w:pStyle w:val="ListParagraph"/>
        <w:numPr>
          <w:ilvl w:val="1"/>
          <w:numId w:val="6"/>
        </w:numPr>
        <w:spacing w:after="257" w:line="247" w:lineRule="auto"/>
        <w:ind w:right="874"/>
      </w:pPr>
      <w:r>
        <w:t xml:space="preserve">The Master Plan </w:t>
      </w:r>
      <w:r w:rsidR="00160EB8">
        <w:t xml:space="preserve">key features will include </w:t>
      </w:r>
      <w:r w:rsidR="00160EB8" w:rsidRPr="00160EB8">
        <w:t>capital additions such as</w:t>
      </w:r>
      <w:r w:rsidR="0097738E">
        <w:t xml:space="preserve">, </w:t>
      </w:r>
      <w:r w:rsidR="0088347F">
        <w:t>but not limited to</w:t>
      </w:r>
      <w:r w:rsidR="0097738E">
        <w:t>,</w:t>
      </w:r>
      <w:r w:rsidR="00160EB8" w:rsidRPr="00160EB8">
        <w:t xml:space="preserve"> the creation of </w:t>
      </w:r>
      <w:r w:rsidR="0097738E" w:rsidRPr="00160EB8">
        <w:t>pedestals</w:t>
      </w:r>
      <w:r w:rsidR="00160EB8" w:rsidRPr="00160EB8">
        <w:t xml:space="preserve"> for the placement of a select number of iconic and signature works of sculpture, a performance space, a visitor kiosk, upgrades to seating and signage in the</w:t>
      </w:r>
      <w:r w:rsidR="00E00094">
        <w:t xml:space="preserve"> Square, and improvements to the Square’s streetscape and sidewalks.</w:t>
      </w:r>
    </w:p>
    <w:p w14:paraId="0AE76153" w14:textId="7DBED6E1" w:rsidR="00E470BA" w:rsidRDefault="00B613AF" w:rsidP="00901638">
      <w:pPr>
        <w:pStyle w:val="ListParagraph"/>
        <w:numPr>
          <w:ilvl w:val="1"/>
          <w:numId w:val="6"/>
        </w:numPr>
        <w:spacing w:after="257" w:line="247" w:lineRule="auto"/>
        <w:ind w:right="874"/>
      </w:pPr>
      <w:r>
        <w:t>While</w:t>
      </w:r>
      <w:r w:rsidR="0088347F">
        <w:t xml:space="preserve"> </w:t>
      </w:r>
      <w:r w:rsidR="00E470BA">
        <w:t xml:space="preserve">developing the Master Plan, Telfair and the Design Firm will </w:t>
      </w:r>
      <w:r w:rsidR="007103E9">
        <w:t xml:space="preserve">collaborate </w:t>
      </w:r>
      <w:r w:rsidR="00E470BA">
        <w:t xml:space="preserve">with City staff and utilize an inclusive process for obtaining input from the City Council and residents </w:t>
      </w:r>
      <w:r w:rsidR="00E470BA" w:rsidRPr="00E470BA">
        <w:t>throughout the City in each Aldermanic District</w:t>
      </w:r>
      <w:r w:rsidR="00E470BA">
        <w:t>.</w:t>
      </w:r>
    </w:p>
    <w:p w14:paraId="4F115B79" w14:textId="00EBE447" w:rsidR="001105EB" w:rsidRDefault="00901638" w:rsidP="001105EB">
      <w:pPr>
        <w:pStyle w:val="ListParagraph"/>
        <w:numPr>
          <w:ilvl w:val="1"/>
          <w:numId w:val="6"/>
        </w:numPr>
        <w:spacing w:after="257" w:line="247" w:lineRule="auto"/>
        <w:ind w:right="874"/>
      </w:pPr>
      <w:r>
        <w:t xml:space="preserve">After obtaining input from stakeholders as described above, </w:t>
      </w:r>
      <w:r w:rsidR="00E470BA">
        <w:t xml:space="preserve">Telfair will present </w:t>
      </w:r>
      <w:r>
        <w:t>a Master Plan to the City for approval</w:t>
      </w:r>
      <w:r w:rsidR="00785EFF">
        <w:t xml:space="preserve"> by the City Council</w:t>
      </w:r>
      <w:r w:rsidR="00E47579">
        <w:t xml:space="preserve"> (which approval shall not be unreasonably </w:t>
      </w:r>
      <w:r w:rsidR="0079729C">
        <w:t xml:space="preserve">withheld, </w:t>
      </w:r>
      <w:proofErr w:type="gramStart"/>
      <w:r w:rsidR="0079729C">
        <w:t>conditioned</w:t>
      </w:r>
      <w:proofErr w:type="gramEnd"/>
      <w:r w:rsidR="0079729C">
        <w:t xml:space="preserve"> or delayed)</w:t>
      </w:r>
      <w:r>
        <w:t>.</w:t>
      </w:r>
      <w:r w:rsidR="00E4336E">
        <w:t xml:space="preserve">  </w:t>
      </w:r>
      <w:r w:rsidR="0097738E">
        <w:t xml:space="preserve">Promptly following the City’s approval of the Master Plan, </w:t>
      </w:r>
      <w:r w:rsidR="006518DF">
        <w:t>the project will move</w:t>
      </w:r>
      <w:r w:rsidR="003E14C3">
        <w:t xml:space="preserve"> into the </w:t>
      </w:r>
      <w:r w:rsidR="006518DF">
        <w:t>construction phase.</w:t>
      </w:r>
    </w:p>
    <w:p w14:paraId="18239AAB" w14:textId="77777777" w:rsidR="00E4336E" w:rsidRDefault="00E4336E" w:rsidP="00E4336E">
      <w:pPr>
        <w:pStyle w:val="ListParagraph"/>
        <w:spacing w:after="257" w:line="247" w:lineRule="auto"/>
        <w:ind w:left="360" w:right="874"/>
      </w:pPr>
    </w:p>
    <w:p w14:paraId="14114F46" w14:textId="5E0E051E" w:rsidR="0088347F" w:rsidRDefault="0088347F" w:rsidP="00E4336E">
      <w:pPr>
        <w:pStyle w:val="ListParagraph"/>
        <w:spacing w:after="257" w:line="247" w:lineRule="auto"/>
        <w:ind w:left="360" w:right="874"/>
      </w:pPr>
    </w:p>
    <w:p w14:paraId="5AE73414" w14:textId="77777777" w:rsidR="00DC7B2E" w:rsidRDefault="00DC7B2E" w:rsidP="00E4336E">
      <w:pPr>
        <w:pStyle w:val="ListParagraph"/>
        <w:spacing w:after="257" w:line="247" w:lineRule="auto"/>
        <w:ind w:left="360" w:right="874"/>
      </w:pPr>
    </w:p>
    <w:p w14:paraId="714E1C4A" w14:textId="56D0824D" w:rsidR="00E4336E" w:rsidRDefault="00E4336E" w:rsidP="00E4336E">
      <w:pPr>
        <w:pStyle w:val="ListParagraph"/>
        <w:numPr>
          <w:ilvl w:val="0"/>
          <w:numId w:val="6"/>
        </w:numPr>
        <w:spacing w:after="257" w:line="247" w:lineRule="auto"/>
        <w:ind w:right="874"/>
      </w:pPr>
      <w:r w:rsidRPr="00E4336E">
        <w:rPr>
          <w:u w:val="single"/>
        </w:rPr>
        <w:lastRenderedPageBreak/>
        <w:t>Master Plan Construction</w:t>
      </w:r>
      <w:r>
        <w:t>.</w:t>
      </w:r>
    </w:p>
    <w:p w14:paraId="0D951366" w14:textId="2B54B3DA" w:rsidR="001A06D2" w:rsidRDefault="00287587" w:rsidP="00E4336E">
      <w:pPr>
        <w:pStyle w:val="ListParagraph"/>
        <w:numPr>
          <w:ilvl w:val="1"/>
          <w:numId w:val="6"/>
        </w:numPr>
        <w:spacing w:after="257" w:line="247" w:lineRule="auto"/>
        <w:ind w:right="874"/>
      </w:pPr>
      <w:r>
        <w:t>Telfair, with City input</w:t>
      </w:r>
      <w:r w:rsidR="007E7F80">
        <w:t xml:space="preserve"> (through its Park and Tree Director</w:t>
      </w:r>
      <w:r w:rsidR="005A7FD8" w:rsidRPr="005A7FD8">
        <w:rPr>
          <w:color w:val="auto"/>
        </w:rPr>
        <w:t>)</w:t>
      </w:r>
      <w:r w:rsidRPr="005A7FD8">
        <w:rPr>
          <w:color w:val="auto"/>
        </w:rPr>
        <w:t>,</w:t>
      </w:r>
      <w:r>
        <w:t xml:space="preserve"> will draft Request</w:t>
      </w:r>
      <w:r w:rsidR="001C4A35">
        <w:t>s</w:t>
      </w:r>
      <w:r>
        <w:t xml:space="preserve"> for Proposal for construction </w:t>
      </w:r>
      <w:r w:rsidR="001C4A35">
        <w:t xml:space="preserve">of </w:t>
      </w:r>
      <w:r w:rsidR="00AF11B8">
        <w:t xml:space="preserve">fixed </w:t>
      </w:r>
      <w:r w:rsidR="001C4A35">
        <w:t xml:space="preserve">improvements </w:t>
      </w:r>
      <w:r>
        <w:t>called for in the Master Plan</w:t>
      </w:r>
      <w:r w:rsidR="001C4A35">
        <w:t xml:space="preserve">.  </w:t>
      </w:r>
      <w:r w:rsidR="0097738E">
        <w:t xml:space="preserve">Telfair will distribute </w:t>
      </w:r>
      <w:r w:rsidR="001C4A35">
        <w:t xml:space="preserve">its Request for Proposals </w:t>
      </w:r>
      <w:r w:rsidR="0097738E">
        <w:t xml:space="preserve">to potential bidders </w:t>
      </w:r>
      <w:r w:rsidR="00CF6A07">
        <w:t xml:space="preserve">selected </w:t>
      </w:r>
      <w:r w:rsidR="0097738E">
        <w:t>at its</w:t>
      </w:r>
      <w:r w:rsidR="00CF6A07">
        <w:t xml:space="preserve"> sole</w:t>
      </w:r>
      <w:r w:rsidR="0097738E">
        <w:t xml:space="preserve"> discretion</w:t>
      </w:r>
      <w:r w:rsidR="00AE7D27">
        <w:t>.</w:t>
      </w:r>
      <w:r w:rsidR="00E61D2D">
        <w:t xml:space="preserve">  </w:t>
      </w:r>
    </w:p>
    <w:p w14:paraId="5F221770" w14:textId="27D82D75" w:rsidR="00FE1E82" w:rsidRDefault="009079B8" w:rsidP="00E4336E">
      <w:pPr>
        <w:pStyle w:val="ListParagraph"/>
        <w:numPr>
          <w:ilvl w:val="1"/>
          <w:numId w:val="6"/>
        </w:numPr>
        <w:spacing w:after="257" w:line="247" w:lineRule="auto"/>
        <w:ind w:right="874"/>
      </w:pPr>
      <w:r>
        <w:t xml:space="preserve">Telfair will seek the City's input </w:t>
      </w:r>
      <w:r w:rsidR="007961C5">
        <w:t xml:space="preserve">(through </w:t>
      </w:r>
      <w:r w:rsidR="007627FC">
        <w:t xml:space="preserve">its Park and Tree Director) </w:t>
      </w:r>
      <w:r>
        <w:t>during the bid review process; however, final selection of contractor</w:t>
      </w:r>
      <w:r w:rsidR="00FE1E82">
        <w:t>(</w:t>
      </w:r>
      <w:r>
        <w:t>s</w:t>
      </w:r>
      <w:r w:rsidR="00FE1E82">
        <w:t>)</w:t>
      </w:r>
      <w:r>
        <w:t xml:space="preserve"> to construct the </w:t>
      </w:r>
      <w:r w:rsidR="00FE1E82">
        <w:t xml:space="preserve">fixed </w:t>
      </w:r>
      <w:r>
        <w:t>improvements called for in the Master Plan is the sole right and responsibility of Telfair</w:t>
      </w:r>
      <w:r w:rsidR="00FE1E82">
        <w:t>.</w:t>
      </w:r>
    </w:p>
    <w:p w14:paraId="7BB49EDF" w14:textId="518F3CA1" w:rsidR="00AE7D27" w:rsidRDefault="00E61D2D" w:rsidP="007300B7">
      <w:pPr>
        <w:pStyle w:val="ListParagraph"/>
        <w:numPr>
          <w:ilvl w:val="1"/>
          <w:numId w:val="6"/>
        </w:numPr>
        <w:spacing w:after="257" w:line="247" w:lineRule="auto"/>
        <w:ind w:right="874"/>
      </w:pPr>
      <w:r>
        <w:t xml:space="preserve">Acquisition </w:t>
      </w:r>
      <w:r w:rsidR="00C25652">
        <w:t xml:space="preserve">by Telfair </w:t>
      </w:r>
      <w:r>
        <w:t xml:space="preserve">of </w:t>
      </w:r>
      <w:r w:rsidR="00DB572A">
        <w:t xml:space="preserve">movable assets called for in the Master Plan </w:t>
      </w:r>
      <w:r w:rsidR="001A06D2">
        <w:t>(</w:t>
      </w:r>
      <w:r w:rsidR="001A06D2" w:rsidRPr="00CA6194">
        <w:rPr>
          <w:i/>
          <w:iCs/>
        </w:rPr>
        <w:t>e.g.,</w:t>
      </w:r>
      <w:r w:rsidR="001A06D2">
        <w:t xml:space="preserve"> sculptures, seating, signage) </w:t>
      </w:r>
      <w:r w:rsidR="00DB572A">
        <w:t xml:space="preserve">shall be at Telfair’s </w:t>
      </w:r>
      <w:r w:rsidR="009079B8">
        <w:t xml:space="preserve">sole </w:t>
      </w:r>
      <w:r w:rsidR="00DB572A">
        <w:t>discretion and shall not require a bidding process.</w:t>
      </w:r>
    </w:p>
    <w:p w14:paraId="04AC1729" w14:textId="2802178D" w:rsidR="00A806E8" w:rsidRDefault="006518DF" w:rsidP="00E229D7">
      <w:pPr>
        <w:pStyle w:val="ListParagraph"/>
        <w:numPr>
          <w:ilvl w:val="1"/>
          <w:numId w:val="6"/>
        </w:numPr>
        <w:spacing w:after="257" w:line="247" w:lineRule="auto"/>
        <w:ind w:right="874"/>
      </w:pPr>
      <w:r>
        <w:t xml:space="preserve">Telfair </w:t>
      </w:r>
      <w:r w:rsidR="00E229D7">
        <w:t>shall</w:t>
      </w:r>
      <w:r w:rsidR="001766F8">
        <w:t xml:space="preserve"> be the contracting party for all agreements concerning implementation of the Master Plan</w:t>
      </w:r>
      <w:r w:rsidR="00114DA1">
        <w:t>, including both construction</w:t>
      </w:r>
      <w:r w:rsidR="00AF11B8">
        <w:t xml:space="preserve"> </w:t>
      </w:r>
      <w:r w:rsidR="007300B7">
        <w:t xml:space="preserve">of </w:t>
      </w:r>
      <w:r w:rsidR="00AF11B8">
        <w:t>fixed improvements</w:t>
      </w:r>
      <w:r w:rsidR="00114DA1">
        <w:t xml:space="preserve"> and acquisition of </w:t>
      </w:r>
      <w:r w:rsidR="007300B7">
        <w:t>movable assets</w:t>
      </w:r>
      <w:r w:rsidR="00114DA1">
        <w:t xml:space="preserve"> to be placed in the Square </w:t>
      </w:r>
      <w:r w:rsidR="00A520CD">
        <w:t>(collectively, the “</w:t>
      </w:r>
      <w:r w:rsidR="00A520CD" w:rsidRPr="00A520CD">
        <w:rPr>
          <w:u w:val="single"/>
        </w:rPr>
        <w:t>Improvements</w:t>
      </w:r>
      <w:r w:rsidR="00A520CD">
        <w:t>”)</w:t>
      </w:r>
      <w:r w:rsidR="00CA6194">
        <w:t>,</w:t>
      </w:r>
      <w:r w:rsidR="001766F8">
        <w:t xml:space="preserve"> and </w:t>
      </w:r>
      <w:r w:rsidR="00AF5652">
        <w:t>shall be responsible for the associated construction and acquisition costs.</w:t>
      </w:r>
    </w:p>
    <w:p w14:paraId="6D31983C" w14:textId="22D65C59" w:rsidR="003D2C57" w:rsidRDefault="003D2C57" w:rsidP="00E229D7">
      <w:pPr>
        <w:pStyle w:val="ListParagraph"/>
        <w:numPr>
          <w:ilvl w:val="1"/>
          <w:numId w:val="6"/>
        </w:numPr>
        <w:spacing w:after="257" w:line="247" w:lineRule="auto"/>
        <w:ind w:right="874"/>
      </w:pPr>
      <w:r>
        <w:t>Title to all Improvements</w:t>
      </w:r>
      <w:r w:rsidR="00511154">
        <w:t xml:space="preserve"> will vest in the City upon installation in the Square; provided, however, title to all</w:t>
      </w:r>
      <w:r>
        <w:t xml:space="preserve"> </w:t>
      </w:r>
      <w:r w:rsidR="00511154">
        <w:t xml:space="preserve">art and related art exhibitions </w:t>
      </w:r>
      <w:r>
        <w:t xml:space="preserve">shall </w:t>
      </w:r>
      <w:r w:rsidR="007E5532">
        <w:t>remain with Telfair</w:t>
      </w:r>
      <w:r w:rsidR="00511154">
        <w:t>.</w:t>
      </w:r>
    </w:p>
    <w:p w14:paraId="23FE245E" w14:textId="77777777" w:rsidR="00AC6A6C" w:rsidRDefault="00425276" w:rsidP="00AC6A6C">
      <w:pPr>
        <w:pStyle w:val="ListParagraph"/>
        <w:numPr>
          <w:ilvl w:val="1"/>
          <w:numId w:val="6"/>
        </w:numPr>
        <w:spacing w:after="257" w:line="247" w:lineRule="auto"/>
        <w:ind w:right="874"/>
      </w:pPr>
      <w:r>
        <w:t>City responsibilities</w:t>
      </w:r>
      <w:r w:rsidR="00AC6A6C">
        <w:t>:</w:t>
      </w:r>
    </w:p>
    <w:p w14:paraId="28809E27" w14:textId="77777777" w:rsidR="00E85C57" w:rsidRDefault="00E229D7" w:rsidP="00AC6A6C">
      <w:pPr>
        <w:pStyle w:val="ListParagraph"/>
        <w:numPr>
          <w:ilvl w:val="2"/>
          <w:numId w:val="6"/>
        </w:numPr>
        <w:spacing w:after="257" w:line="247" w:lineRule="auto"/>
        <w:ind w:right="874"/>
      </w:pPr>
      <w:r>
        <w:t xml:space="preserve">The City will support issuance of all necessary City permits and other </w:t>
      </w:r>
      <w:r w:rsidR="00E85C57">
        <w:t xml:space="preserve">City </w:t>
      </w:r>
      <w:r>
        <w:t xml:space="preserve">approvals concerning </w:t>
      </w:r>
      <w:r w:rsidR="00E85C57">
        <w:t xml:space="preserve">the Improvements. </w:t>
      </w:r>
    </w:p>
    <w:p w14:paraId="2917FECA" w14:textId="4438401A" w:rsidR="00AC6A6C" w:rsidRDefault="00E85C57" w:rsidP="00AC6A6C">
      <w:pPr>
        <w:pStyle w:val="ListParagraph"/>
        <w:numPr>
          <w:ilvl w:val="2"/>
          <w:numId w:val="6"/>
        </w:numPr>
        <w:spacing w:after="257" w:line="247" w:lineRule="auto"/>
        <w:ind w:right="874"/>
      </w:pPr>
      <w:r>
        <w:t>T</w:t>
      </w:r>
      <w:r w:rsidR="00B833F7">
        <w:t xml:space="preserve">he City agrees to consider </w:t>
      </w:r>
      <w:r w:rsidR="00416C6A">
        <w:t xml:space="preserve">in good faith </w:t>
      </w:r>
      <w:r w:rsidR="00B833F7">
        <w:t>and</w:t>
      </w:r>
      <w:r w:rsidR="00416C6A">
        <w:t>,</w:t>
      </w:r>
      <w:r w:rsidR="00B833F7">
        <w:t xml:space="preserve"> if deemed appropriate</w:t>
      </w:r>
      <w:r w:rsidR="00416C6A">
        <w:t>,</w:t>
      </w:r>
      <w:r w:rsidR="00B833F7">
        <w:t xml:space="preserve"> adopt the </w:t>
      </w:r>
      <w:r w:rsidR="00AC5BC5">
        <w:t xml:space="preserve">proposed </w:t>
      </w:r>
      <w:r w:rsidR="00B833F7">
        <w:t>Master Plan.</w:t>
      </w:r>
      <w:r w:rsidR="0076623F">
        <w:t xml:space="preserve"> </w:t>
      </w:r>
      <w:r w:rsidR="00B833F7">
        <w:t xml:space="preserve"> If adopted, future projects for or improvements to </w:t>
      </w:r>
      <w:r w:rsidR="0076623F">
        <w:t xml:space="preserve">the Square </w:t>
      </w:r>
      <w:r w:rsidR="00B833F7">
        <w:t>will be considered by the City in the context of the Master Plan</w:t>
      </w:r>
      <w:r w:rsidR="00AC6A6C">
        <w:t>.</w:t>
      </w:r>
    </w:p>
    <w:p w14:paraId="1B426F26" w14:textId="5E6ACD2A" w:rsidR="004E017E" w:rsidRDefault="00B833F7" w:rsidP="004E017E">
      <w:pPr>
        <w:pStyle w:val="ListParagraph"/>
        <w:numPr>
          <w:ilvl w:val="2"/>
          <w:numId w:val="6"/>
        </w:numPr>
        <w:spacing w:after="257" w:line="247" w:lineRule="auto"/>
        <w:ind w:right="874"/>
      </w:pPr>
      <w:r>
        <w:t xml:space="preserve">The City acknowledges that it does not have the authority to obligate the choice of vendor </w:t>
      </w:r>
      <w:r w:rsidR="003607FC">
        <w:t xml:space="preserve">for development of the Master Plan, the scope of the Master Plan or vendors for the Improvements, </w:t>
      </w:r>
      <w:r>
        <w:t xml:space="preserve">as </w:t>
      </w:r>
      <w:r w:rsidR="004D42AF">
        <w:t>Telfair</w:t>
      </w:r>
      <w:r>
        <w:t xml:space="preserve"> is an independent entity.</w:t>
      </w:r>
    </w:p>
    <w:p w14:paraId="3FF8D3C3" w14:textId="77777777" w:rsidR="005F349C" w:rsidRDefault="00B833F7" w:rsidP="005F349C">
      <w:pPr>
        <w:pStyle w:val="ListParagraph"/>
        <w:numPr>
          <w:ilvl w:val="2"/>
          <w:numId w:val="6"/>
        </w:numPr>
        <w:spacing w:after="257" w:line="247" w:lineRule="auto"/>
        <w:ind w:right="874"/>
      </w:pPr>
      <w:r>
        <w:t xml:space="preserve">The City will work closely with </w:t>
      </w:r>
      <w:r w:rsidR="004D42AF">
        <w:t>Telfair</w:t>
      </w:r>
      <w:r>
        <w:t xml:space="preserve"> throughout the Master Planning process.</w:t>
      </w:r>
    </w:p>
    <w:p w14:paraId="6DAFD82D" w14:textId="3516885D" w:rsidR="005F349C" w:rsidRDefault="00B833F7" w:rsidP="005F349C">
      <w:pPr>
        <w:pStyle w:val="ListParagraph"/>
        <w:numPr>
          <w:ilvl w:val="2"/>
          <w:numId w:val="6"/>
        </w:numPr>
        <w:spacing w:after="257" w:line="247" w:lineRule="auto"/>
        <w:ind w:right="874"/>
      </w:pPr>
      <w:r>
        <w:t xml:space="preserve">The City will provide in a timely manner all information, maps, and documents requested by </w:t>
      </w:r>
      <w:r w:rsidR="004D42AF">
        <w:t>Telfair</w:t>
      </w:r>
      <w:r>
        <w:t xml:space="preserve"> and/or </w:t>
      </w:r>
      <w:r w:rsidR="00881C67">
        <w:t>its vendors supporting development and implementation of the</w:t>
      </w:r>
      <w:r>
        <w:t xml:space="preserve"> Master Plan.</w:t>
      </w:r>
    </w:p>
    <w:p w14:paraId="08706324" w14:textId="254DE700" w:rsidR="007C4ACD" w:rsidRDefault="00B833F7" w:rsidP="005F349C">
      <w:pPr>
        <w:pStyle w:val="ListParagraph"/>
        <w:numPr>
          <w:ilvl w:val="2"/>
          <w:numId w:val="6"/>
        </w:numPr>
        <w:spacing w:after="257" w:line="247" w:lineRule="auto"/>
        <w:ind w:right="874"/>
      </w:pPr>
      <w:r>
        <w:t xml:space="preserve">The Parties agree that the City has no financial obligation to </w:t>
      </w:r>
      <w:r w:rsidR="004D42AF">
        <w:t>Telfair</w:t>
      </w:r>
      <w:r>
        <w:t xml:space="preserve"> to fund the cost of development</w:t>
      </w:r>
      <w:r w:rsidR="00881C67">
        <w:t xml:space="preserve"> or implementation</w:t>
      </w:r>
      <w:r>
        <w:t xml:space="preserve"> of the Master Plan</w:t>
      </w:r>
      <w:r w:rsidR="0088347F">
        <w:t xml:space="preserve">, but </w:t>
      </w:r>
      <w:r w:rsidR="0061014E">
        <w:t xml:space="preserve">nevertheless </w:t>
      </w:r>
      <w:r w:rsidR="005348B7">
        <w:t xml:space="preserve">may </w:t>
      </w:r>
      <w:r w:rsidR="0001697C">
        <w:t xml:space="preserve">contribute </w:t>
      </w:r>
      <w:r w:rsidR="00CD26EA">
        <w:t>materials (</w:t>
      </w:r>
      <w:r w:rsidR="00CD26EA" w:rsidRPr="00172DD7">
        <w:rPr>
          <w:i/>
          <w:iCs/>
        </w:rPr>
        <w:t>e.g.,</w:t>
      </w:r>
      <w:r w:rsidR="00CD26EA">
        <w:t xml:space="preserve"> sidewalk bricks) </w:t>
      </w:r>
      <w:r w:rsidR="005348B7">
        <w:t>as it has done</w:t>
      </w:r>
      <w:r w:rsidR="000D58C9">
        <w:t xml:space="preserve"> </w:t>
      </w:r>
      <w:r w:rsidR="00172DD7">
        <w:t xml:space="preserve">on </w:t>
      </w:r>
      <w:r w:rsidR="0088347F">
        <w:t>previous projects</w:t>
      </w:r>
      <w:r>
        <w:t>.</w:t>
      </w:r>
    </w:p>
    <w:p w14:paraId="1E61E5AD" w14:textId="77777777" w:rsidR="00C600F2" w:rsidRDefault="00C600F2" w:rsidP="00C600F2">
      <w:pPr>
        <w:pStyle w:val="ListParagraph"/>
        <w:spacing w:after="257" w:line="247" w:lineRule="auto"/>
        <w:ind w:left="1800" w:right="874"/>
      </w:pPr>
    </w:p>
    <w:p w14:paraId="56B3D199" w14:textId="67774771" w:rsidR="00C600F2" w:rsidRDefault="00C600F2" w:rsidP="00C600F2">
      <w:pPr>
        <w:pStyle w:val="ListParagraph"/>
        <w:numPr>
          <w:ilvl w:val="0"/>
          <w:numId w:val="6"/>
        </w:numPr>
        <w:spacing w:after="257" w:line="247" w:lineRule="auto"/>
        <w:ind w:right="874"/>
      </w:pPr>
      <w:r w:rsidRPr="00C600F2">
        <w:rPr>
          <w:u w:val="single"/>
        </w:rPr>
        <w:t>Post-Construction Maintenance</w:t>
      </w:r>
      <w:r w:rsidR="00FE4A9D">
        <w:rPr>
          <w:u w:val="single"/>
        </w:rPr>
        <w:t xml:space="preserve"> and Modifications</w:t>
      </w:r>
      <w:r>
        <w:t>.</w:t>
      </w:r>
    </w:p>
    <w:p w14:paraId="3375F194" w14:textId="41148B52" w:rsidR="008D7B54" w:rsidRDefault="008D7B54" w:rsidP="00714B60">
      <w:pPr>
        <w:pStyle w:val="ListParagraph"/>
        <w:numPr>
          <w:ilvl w:val="1"/>
          <w:numId w:val="6"/>
        </w:numPr>
        <w:spacing w:after="257" w:line="247" w:lineRule="auto"/>
        <w:ind w:right="874"/>
      </w:pPr>
      <w:r>
        <w:t>Upon completion of construction pursuant to the Master Plan, t</w:t>
      </w:r>
      <w:r w:rsidR="00714B60">
        <w:t xml:space="preserve">he </w:t>
      </w:r>
      <w:r w:rsidR="00714B60" w:rsidRPr="00416FEF">
        <w:t xml:space="preserve">City shall assume responsibility </w:t>
      </w:r>
      <w:r>
        <w:t>at its exp</w:t>
      </w:r>
      <w:r w:rsidR="0088347F">
        <w:t>e</w:t>
      </w:r>
      <w:r>
        <w:t xml:space="preserve">nse </w:t>
      </w:r>
      <w:r w:rsidR="00714B60" w:rsidRPr="00416FEF">
        <w:t xml:space="preserve">for the maintenance and repair of </w:t>
      </w:r>
      <w:r>
        <w:t>the Square, including all Improvements</w:t>
      </w:r>
      <w:r w:rsidR="00C17584">
        <w:t>,</w:t>
      </w:r>
      <w:r w:rsidR="00350957">
        <w:t xml:space="preserve"> except for works of art designated by Telfair</w:t>
      </w:r>
      <w:r w:rsidR="003A3214">
        <w:t xml:space="preserve">.  </w:t>
      </w:r>
      <w:r w:rsidR="00F05751">
        <w:t xml:space="preserve">Art so </w:t>
      </w:r>
      <w:r w:rsidR="00C17584">
        <w:t>designated</w:t>
      </w:r>
      <w:r w:rsidR="00F05751">
        <w:t xml:space="preserve"> shall be maint</w:t>
      </w:r>
      <w:r w:rsidR="007B6965">
        <w:t xml:space="preserve">ained and repaired by Telfair.  </w:t>
      </w:r>
      <w:r w:rsidR="005F21DC">
        <w:t>Except for routine maintenance (</w:t>
      </w:r>
      <w:r w:rsidR="005F21DC" w:rsidRPr="003826D9">
        <w:rPr>
          <w:i/>
          <w:iCs/>
        </w:rPr>
        <w:t>e.g.,</w:t>
      </w:r>
      <w:r w:rsidR="005F21DC">
        <w:t xml:space="preserve"> mowing of </w:t>
      </w:r>
      <w:r w:rsidR="00276A48">
        <w:t xml:space="preserve">grass, litter collection), the City (through its </w:t>
      </w:r>
      <w:r w:rsidR="003F55B2">
        <w:t xml:space="preserve">Park and Tree Director) will consult with Telfair in advance </w:t>
      </w:r>
      <w:r w:rsidR="00180D03">
        <w:t>concerning proposed maintenance and repair</w:t>
      </w:r>
      <w:r w:rsidR="00C17584">
        <w:t xml:space="preserve"> of the Square</w:t>
      </w:r>
      <w:r w:rsidR="002D03FF">
        <w:t>, including Improvements</w:t>
      </w:r>
      <w:r w:rsidR="00180D03">
        <w:t>.</w:t>
      </w:r>
    </w:p>
    <w:p w14:paraId="14327596" w14:textId="67C7A925" w:rsidR="001E3362" w:rsidRDefault="008D7B54" w:rsidP="008D7B54">
      <w:pPr>
        <w:pStyle w:val="ListParagraph"/>
        <w:numPr>
          <w:ilvl w:val="1"/>
          <w:numId w:val="6"/>
        </w:numPr>
        <w:spacing w:after="257" w:line="247" w:lineRule="auto"/>
        <w:ind w:right="874"/>
      </w:pPr>
      <w:r>
        <w:t>Telfair shall have the right</w:t>
      </w:r>
      <w:r w:rsidR="0062641C">
        <w:t xml:space="preserve"> at its expense</w:t>
      </w:r>
      <w:r>
        <w:t xml:space="preserve">, but not any obligation, to </w:t>
      </w:r>
      <w:r w:rsidR="00714B60" w:rsidRPr="00416FEF">
        <w:t>augment the City's maintenance</w:t>
      </w:r>
      <w:r w:rsidR="0062641C">
        <w:t xml:space="preserve"> of the Square</w:t>
      </w:r>
      <w:r w:rsidR="001E3362">
        <w:t>, including Improvements,</w:t>
      </w:r>
      <w:r w:rsidR="0062641C">
        <w:t xml:space="preserve"> </w:t>
      </w:r>
      <w:r w:rsidR="001E3362">
        <w:t>f</w:t>
      </w:r>
      <w:r w:rsidR="00714B60" w:rsidRPr="00416FEF">
        <w:t xml:space="preserve">rom time to time as </w:t>
      </w:r>
      <w:r w:rsidR="001E3362">
        <w:t>Telfair</w:t>
      </w:r>
      <w:r w:rsidR="00714B60" w:rsidRPr="00416FEF">
        <w:t xml:space="preserve"> deems necessary or desirable</w:t>
      </w:r>
      <w:r w:rsidR="001324D4" w:rsidRPr="004D731C">
        <w:rPr>
          <w:color w:val="000000" w:themeColor="text1"/>
        </w:rPr>
        <w:t xml:space="preserve">, subject to </w:t>
      </w:r>
      <w:r w:rsidR="00464A4A" w:rsidRPr="004D731C">
        <w:rPr>
          <w:color w:val="000000" w:themeColor="text1"/>
        </w:rPr>
        <w:t xml:space="preserve">approval by </w:t>
      </w:r>
      <w:r w:rsidR="00F36BDB" w:rsidRPr="004D731C">
        <w:rPr>
          <w:color w:val="000000" w:themeColor="text1"/>
        </w:rPr>
        <w:t>the</w:t>
      </w:r>
      <w:r w:rsidR="00464A4A" w:rsidRPr="004D731C">
        <w:rPr>
          <w:color w:val="000000" w:themeColor="text1"/>
        </w:rPr>
        <w:t xml:space="preserve"> City (which approval shall not </w:t>
      </w:r>
      <w:r w:rsidR="00F36BDB" w:rsidRPr="004D731C">
        <w:rPr>
          <w:color w:val="000000" w:themeColor="text1"/>
        </w:rPr>
        <w:t>be</w:t>
      </w:r>
      <w:r w:rsidR="00464A4A" w:rsidRPr="004D731C">
        <w:rPr>
          <w:color w:val="000000" w:themeColor="text1"/>
        </w:rPr>
        <w:t xml:space="preserve"> unreasonably withheld </w:t>
      </w:r>
      <w:r w:rsidR="00F36BDB" w:rsidRPr="004D731C">
        <w:rPr>
          <w:color w:val="000000" w:themeColor="text1"/>
        </w:rPr>
        <w:t>conditioned or delayed)</w:t>
      </w:r>
      <w:r w:rsidR="001E3362" w:rsidRPr="004D731C">
        <w:rPr>
          <w:color w:val="000000" w:themeColor="text1"/>
        </w:rPr>
        <w:t xml:space="preserve">.  </w:t>
      </w:r>
    </w:p>
    <w:p w14:paraId="4FC93C5D" w14:textId="17DA207E" w:rsidR="00714B60" w:rsidRDefault="0083778F" w:rsidP="008D7B54">
      <w:pPr>
        <w:pStyle w:val="ListParagraph"/>
        <w:numPr>
          <w:ilvl w:val="1"/>
          <w:numId w:val="6"/>
        </w:numPr>
        <w:spacing w:after="257" w:line="247" w:lineRule="auto"/>
        <w:ind w:right="874"/>
      </w:pPr>
      <w:r>
        <w:t xml:space="preserve">After </w:t>
      </w:r>
      <w:r w:rsidR="0074481B">
        <w:t xml:space="preserve">completion of Master Plan construction, </w:t>
      </w:r>
      <w:r w:rsidR="00714B60" w:rsidRPr="00714B60">
        <w:t xml:space="preserve">Telfair </w:t>
      </w:r>
      <w:r w:rsidR="00416FEF" w:rsidRPr="00416FEF">
        <w:t>may, at its option</w:t>
      </w:r>
      <w:r w:rsidR="00AE4917">
        <w:t xml:space="preserve"> and expense</w:t>
      </w:r>
      <w:r w:rsidR="00416FEF" w:rsidRPr="00416FEF">
        <w:t xml:space="preserve">, make </w:t>
      </w:r>
      <w:r w:rsidR="00160BF5">
        <w:t xml:space="preserve">further </w:t>
      </w:r>
      <w:r w:rsidR="00416FEF" w:rsidRPr="00416FEF">
        <w:t xml:space="preserve">modifications and improvements to </w:t>
      </w:r>
      <w:r w:rsidR="006B3318">
        <w:t xml:space="preserve">the </w:t>
      </w:r>
      <w:r w:rsidR="00714B60">
        <w:t>Square</w:t>
      </w:r>
      <w:r w:rsidR="00AE4917">
        <w:t xml:space="preserve"> </w:t>
      </w:r>
      <w:r w:rsidR="00416FEF" w:rsidRPr="00416FEF">
        <w:t>subject to</w:t>
      </w:r>
      <w:r w:rsidR="006B3318">
        <w:t xml:space="preserve"> any required</w:t>
      </w:r>
      <w:r w:rsidR="00416FEF" w:rsidRPr="00416FEF">
        <w:t xml:space="preserve"> approval by</w:t>
      </w:r>
      <w:r w:rsidR="005777A1">
        <w:t xml:space="preserve"> </w:t>
      </w:r>
      <w:r w:rsidR="005777A1">
        <w:lastRenderedPageBreak/>
        <w:t>the</w:t>
      </w:r>
      <w:r w:rsidR="00416FEF" w:rsidRPr="00416FEF">
        <w:t xml:space="preserve"> City (which approval shall not be unreasonably withheld, </w:t>
      </w:r>
      <w:proofErr w:type="gramStart"/>
      <w:r w:rsidR="00416FEF" w:rsidRPr="00416FEF">
        <w:t>conditioned</w:t>
      </w:r>
      <w:proofErr w:type="gramEnd"/>
      <w:r w:rsidR="00416FEF" w:rsidRPr="00416FEF">
        <w:t xml:space="preserve"> or delayed), including but not limited to the planting of vegetation. </w:t>
      </w:r>
    </w:p>
    <w:p w14:paraId="68948633" w14:textId="536D620A" w:rsidR="00714B60" w:rsidRDefault="00A82745" w:rsidP="00714B60">
      <w:pPr>
        <w:pStyle w:val="ListParagraph"/>
        <w:numPr>
          <w:ilvl w:val="1"/>
          <w:numId w:val="6"/>
        </w:numPr>
        <w:spacing w:after="257" w:line="247" w:lineRule="auto"/>
        <w:ind w:right="874"/>
      </w:pPr>
      <w:r>
        <w:t>In recognition of Telfair’s considerable investment in the Square’s Improvements</w:t>
      </w:r>
      <w:r w:rsidR="0041741E">
        <w:t xml:space="preserve"> and </w:t>
      </w:r>
      <w:r w:rsidR="00BD1F01">
        <w:t xml:space="preserve">the extent to which </w:t>
      </w:r>
      <w:r w:rsidR="00BD1F01" w:rsidRPr="004D731C">
        <w:rPr>
          <w:color w:val="000000" w:themeColor="text1"/>
        </w:rPr>
        <w:t xml:space="preserve">the Square is integrated into </w:t>
      </w:r>
      <w:r w:rsidRPr="004D731C">
        <w:rPr>
          <w:color w:val="000000" w:themeColor="text1"/>
        </w:rPr>
        <w:t xml:space="preserve">Telfair’s </w:t>
      </w:r>
      <w:r w:rsidR="00FA0B70" w:rsidRPr="004D731C">
        <w:rPr>
          <w:color w:val="000000" w:themeColor="text1"/>
        </w:rPr>
        <w:t>streetscape</w:t>
      </w:r>
      <w:r w:rsidR="00607884" w:rsidRPr="004D731C">
        <w:rPr>
          <w:color w:val="000000" w:themeColor="text1"/>
        </w:rPr>
        <w:t xml:space="preserve"> and visitor experience,</w:t>
      </w:r>
      <w:r w:rsidR="00FA0B70" w:rsidRPr="004D731C">
        <w:rPr>
          <w:color w:val="000000" w:themeColor="text1"/>
        </w:rPr>
        <w:t xml:space="preserve"> the </w:t>
      </w:r>
      <w:r w:rsidR="00416FEF" w:rsidRPr="004D731C">
        <w:rPr>
          <w:color w:val="000000" w:themeColor="text1"/>
        </w:rPr>
        <w:t xml:space="preserve">City agrees </w:t>
      </w:r>
      <w:r w:rsidR="00B71377" w:rsidRPr="004D731C">
        <w:rPr>
          <w:color w:val="000000" w:themeColor="text1"/>
        </w:rPr>
        <w:t xml:space="preserve">to </w:t>
      </w:r>
      <w:r w:rsidR="009E235E" w:rsidRPr="004D731C">
        <w:rPr>
          <w:color w:val="000000" w:themeColor="text1"/>
        </w:rPr>
        <w:t>consult with the Telfair regarding any modifications to the Square during the Term of this Agreement</w:t>
      </w:r>
      <w:r w:rsidR="009C23B5" w:rsidRPr="004D731C">
        <w:rPr>
          <w:color w:val="000000" w:themeColor="text1"/>
        </w:rPr>
        <w:t xml:space="preserve"> which may necessary</w:t>
      </w:r>
      <w:r w:rsidR="007408AB" w:rsidRPr="004D731C">
        <w:rPr>
          <w:color w:val="000000" w:themeColor="text1"/>
        </w:rPr>
        <w:t>.</w:t>
      </w:r>
    </w:p>
    <w:p w14:paraId="166B7D15" w14:textId="4274E368" w:rsidR="00416FEF" w:rsidRDefault="00416FEF" w:rsidP="00255876">
      <w:pPr>
        <w:pStyle w:val="ListParagraph"/>
        <w:spacing w:after="257" w:line="247" w:lineRule="auto"/>
        <w:ind w:left="1080" w:right="874"/>
      </w:pPr>
    </w:p>
    <w:p w14:paraId="1673A94A" w14:textId="77777777" w:rsidR="00021861" w:rsidRPr="004D731C" w:rsidRDefault="00C30C99" w:rsidP="00021861">
      <w:pPr>
        <w:pStyle w:val="ListParagraph"/>
        <w:numPr>
          <w:ilvl w:val="0"/>
          <w:numId w:val="6"/>
        </w:numPr>
        <w:spacing w:after="257" w:line="247" w:lineRule="auto"/>
        <w:ind w:right="874"/>
        <w:rPr>
          <w:color w:val="000000" w:themeColor="text1"/>
        </w:rPr>
      </w:pPr>
      <w:r w:rsidRPr="00255876">
        <w:rPr>
          <w:u w:val="single"/>
        </w:rPr>
        <w:t xml:space="preserve">Use of </w:t>
      </w:r>
      <w:r w:rsidRPr="004D731C">
        <w:rPr>
          <w:color w:val="000000" w:themeColor="text1"/>
          <w:u w:val="single"/>
        </w:rPr>
        <w:t>Square</w:t>
      </w:r>
      <w:r w:rsidRPr="004D731C">
        <w:rPr>
          <w:color w:val="000000" w:themeColor="text1"/>
        </w:rPr>
        <w:t>.</w:t>
      </w:r>
    </w:p>
    <w:p w14:paraId="5D0BE5B4" w14:textId="26570AC7" w:rsidR="00127D27" w:rsidRDefault="00A71385" w:rsidP="00021861">
      <w:pPr>
        <w:pStyle w:val="ListParagraph"/>
        <w:numPr>
          <w:ilvl w:val="1"/>
          <w:numId w:val="6"/>
        </w:numPr>
        <w:spacing w:after="257" w:line="247" w:lineRule="auto"/>
        <w:ind w:right="874"/>
      </w:pPr>
      <w:r w:rsidRPr="004D731C">
        <w:rPr>
          <w:color w:val="000000" w:themeColor="text1"/>
        </w:rPr>
        <w:t>Telfair</w:t>
      </w:r>
      <w:r w:rsidR="00C30C99" w:rsidRPr="004D731C">
        <w:rPr>
          <w:color w:val="000000" w:themeColor="text1"/>
        </w:rPr>
        <w:t xml:space="preserve"> shall </w:t>
      </w:r>
      <w:r w:rsidR="00127D27" w:rsidRPr="004D731C">
        <w:rPr>
          <w:color w:val="000000" w:themeColor="text1"/>
        </w:rPr>
        <w:t xml:space="preserve">work closely with the City </w:t>
      </w:r>
      <w:r w:rsidR="00C77A16" w:rsidRPr="004D731C">
        <w:rPr>
          <w:color w:val="000000" w:themeColor="text1"/>
        </w:rPr>
        <w:t xml:space="preserve">(through the </w:t>
      </w:r>
      <w:r w:rsidR="00C15E48" w:rsidRPr="004D731C">
        <w:rPr>
          <w:color w:val="000000" w:themeColor="text1"/>
        </w:rPr>
        <w:t xml:space="preserve">offices of </w:t>
      </w:r>
      <w:r w:rsidR="00A74742" w:rsidRPr="004D731C">
        <w:rPr>
          <w:color w:val="000000" w:themeColor="text1"/>
        </w:rPr>
        <w:t xml:space="preserve">Park and Tree and </w:t>
      </w:r>
      <w:r w:rsidR="00C15E48" w:rsidRPr="004D731C">
        <w:rPr>
          <w:color w:val="000000" w:themeColor="text1"/>
        </w:rPr>
        <w:t xml:space="preserve">Special Events, Film and </w:t>
      </w:r>
      <w:r w:rsidR="00A74742" w:rsidRPr="004D731C">
        <w:rPr>
          <w:color w:val="000000" w:themeColor="text1"/>
        </w:rPr>
        <w:t>Tourism</w:t>
      </w:r>
      <w:r w:rsidR="00C77A16" w:rsidRPr="004D731C">
        <w:rPr>
          <w:color w:val="000000" w:themeColor="text1"/>
        </w:rPr>
        <w:t xml:space="preserve">) </w:t>
      </w:r>
      <w:r w:rsidR="00127D27" w:rsidRPr="004D731C">
        <w:rPr>
          <w:color w:val="000000" w:themeColor="text1"/>
        </w:rPr>
        <w:t>to coordinate the annual programming of the Square</w:t>
      </w:r>
      <w:r w:rsidR="00A34074" w:rsidRPr="004D731C">
        <w:rPr>
          <w:color w:val="000000" w:themeColor="text1"/>
        </w:rPr>
        <w:t xml:space="preserve"> for events and </w:t>
      </w:r>
      <w:r w:rsidR="00B311A6" w:rsidRPr="004D731C">
        <w:rPr>
          <w:color w:val="000000" w:themeColor="text1"/>
        </w:rPr>
        <w:t>other organized activities</w:t>
      </w:r>
      <w:r w:rsidR="00913CB4" w:rsidRPr="004D731C">
        <w:rPr>
          <w:color w:val="000000" w:themeColor="text1"/>
        </w:rPr>
        <w:t xml:space="preserve">.  The target for programming allocation is </w:t>
      </w:r>
      <w:r w:rsidR="00127D27" w:rsidRPr="004D731C">
        <w:rPr>
          <w:color w:val="000000" w:themeColor="text1"/>
        </w:rPr>
        <w:t xml:space="preserve">one-third </w:t>
      </w:r>
      <w:r w:rsidR="0098128C" w:rsidRPr="004D731C">
        <w:rPr>
          <w:color w:val="000000" w:themeColor="text1"/>
        </w:rPr>
        <w:t xml:space="preserve">for </w:t>
      </w:r>
      <w:r w:rsidR="00127D27" w:rsidRPr="004D731C">
        <w:rPr>
          <w:color w:val="000000" w:themeColor="text1"/>
        </w:rPr>
        <w:t>programs</w:t>
      </w:r>
      <w:r w:rsidR="00F22BF0" w:rsidRPr="004D731C">
        <w:rPr>
          <w:color w:val="000000" w:themeColor="text1"/>
        </w:rPr>
        <w:t xml:space="preserve"> hosted by</w:t>
      </w:r>
      <w:r w:rsidR="00691F4F" w:rsidRPr="004D731C">
        <w:rPr>
          <w:color w:val="000000" w:themeColor="text1"/>
        </w:rPr>
        <w:t xml:space="preserve"> the City </w:t>
      </w:r>
      <w:r w:rsidR="00691F4F">
        <w:t xml:space="preserve">or booked by </w:t>
      </w:r>
      <w:r w:rsidR="00CB4E6E">
        <w:t>third parties</w:t>
      </w:r>
      <w:r w:rsidR="00691F4F">
        <w:t xml:space="preserve"> through the City per 4(c) below</w:t>
      </w:r>
      <w:r w:rsidR="00127D27">
        <w:t>, one</w:t>
      </w:r>
      <w:r w:rsidR="0098128C">
        <w:t>-</w:t>
      </w:r>
      <w:r w:rsidR="00127D27">
        <w:t xml:space="preserve">third </w:t>
      </w:r>
      <w:r w:rsidR="0098128C">
        <w:t xml:space="preserve">for programs </w:t>
      </w:r>
      <w:r w:rsidR="00AA42F0">
        <w:t xml:space="preserve">booked </w:t>
      </w:r>
      <w:r w:rsidR="0098128C">
        <w:t xml:space="preserve">by </w:t>
      </w:r>
      <w:r w:rsidR="00127D27">
        <w:t xml:space="preserve">Telfair and </w:t>
      </w:r>
      <w:r w:rsidR="0098128C">
        <w:t xml:space="preserve">its partners </w:t>
      </w:r>
      <w:r w:rsidR="00127D27">
        <w:t>and one</w:t>
      </w:r>
      <w:r w:rsidR="0098128C">
        <w:t>-</w:t>
      </w:r>
      <w:r w:rsidR="00127D27">
        <w:t xml:space="preserve">third unprogrammed. </w:t>
      </w:r>
    </w:p>
    <w:p w14:paraId="0C961F84" w14:textId="44E6A036" w:rsidR="00511154" w:rsidRDefault="00127D27" w:rsidP="00021861">
      <w:pPr>
        <w:pStyle w:val="ListParagraph"/>
        <w:numPr>
          <w:ilvl w:val="1"/>
          <w:numId w:val="6"/>
        </w:numPr>
        <w:spacing w:after="257" w:line="247" w:lineRule="auto"/>
        <w:ind w:right="874"/>
      </w:pPr>
      <w:r>
        <w:t xml:space="preserve">Telfair shall </w:t>
      </w:r>
      <w:r w:rsidR="006B0422">
        <w:t>be entitled</w:t>
      </w:r>
      <w:r w:rsidR="004378A5">
        <w:t xml:space="preserve"> to reserve exclusive rights to use the Square at any time up to </w:t>
      </w:r>
      <w:r w:rsidR="00C30C99" w:rsidRPr="00C30C99">
        <w:t>24-month</w:t>
      </w:r>
      <w:r w:rsidR="004378A5">
        <w:t xml:space="preserve">s in advance </w:t>
      </w:r>
      <w:r w:rsidR="003F5A2C">
        <w:t>for</w:t>
      </w:r>
      <w:r w:rsidR="00A71385">
        <w:t xml:space="preserve"> </w:t>
      </w:r>
      <w:r w:rsidR="00A71385" w:rsidRPr="008947E8">
        <w:t xml:space="preserve">public </w:t>
      </w:r>
      <w:r w:rsidR="003F5A2C" w:rsidRPr="008947E8">
        <w:t>or</w:t>
      </w:r>
      <w:r w:rsidR="00A71385" w:rsidRPr="008947E8">
        <w:t xml:space="preserve"> private</w:t>
      </w:r>
      <w:r w:rsidR="00A71385">
        <w:t xml:space="preserve"> </w:t>
      </w:r>
      <w:r w:rsidR="00C30C99" w:rsidRPr="00C30C99">
        <w:t xml:space="preserve">activities </w:t>
      </w:r>
      <w:r w:rsidR="003D4E13">
        <w:t>at the Square</w:t>
      </w:r>
      <w:r w:rsidR="00A71385">
        <w:t xml:space="preserve"> (“</w:t>
      </w:r>
      <w:r w:rsidR="00A71385" w:rsidRPr="00B264F0">
        <w:rPr>
          <w:u w:val="single"/>
        </w:rPr>
        <w:t>Telfair Programing</w:t>
      </w:r>
      <w:r w:rsidR="00A71385">
        <w:t xml:space="preserve">”), </w:t>
      </w:r>
      <w:proofErr w:type="gramStart"/>
      <w:r w:rsidR="00A71385">
        <w:t>provided that</w:t>
      </w:r>
      <w:proofErr w:type="gramEnd"/>
      <w:r w:rsidR="00A71385">
        <w:t xml:space="preserve"> Telfair Programing shall not exceed </w:t>
      </w:r>
      <w:r>
        <w:t xml:space="preserve">one-third of the days in </w:t>
      </w:r>
      <w:r w:rsidR="00A71385">
        <w:t>any calendar month.</w:t>
      </w:r>
      <w:r w:rsidR="00144E46">
        <w:t xml:space="preserve">  </w:t>
      </w:r>
    </w:p>
    <w:p w14:paraId="36A4CFFC" w14:textId="3674DE9C" w:rsidR="00A34888" w:rsidRDefault="00511154" w:rsidP="00021861">
      <w:pPr>
        <w:pStyle w:val="ListParagraph"/>
        <w:numPr>
          <w:ilvl w:val="1"/>
          <w:numId w:val="6"/>
        </w:numPr>
        <w:spacing w:after="257" w:line="247" w:lineRule="auto"/>
        <w:ind w:right="874"/>
      </w:pPr>
      <w:r>
        <w:t>The City will waive permitting and usage fees for all</w:t>
      </w:r>
      <w:r w:rsidR="0070299B">
        <w:t xml:space="preserve"> </w:t>
      </w:r>
      <w:r w:rsidR="00144E46">
        <w:t>Telfair Programing</w:t>
      </w:r>
      <w:r>
        <w:t>, which</w:t>
      </w:r>
      <w:r w:rsidR="00144E46">
        <w:t xml:space="preserve"> may include, without </w:t>
      </w:r>
      <w:r w:rsidR="00144E46" w:rsidRPr="004D731C">
        <w:rPr>
          <w:color w:val="000000" w:themeColor="text1"/>
        </w:rPr>
        <w:t xml:space="preserve">limitation, </w:t>
      </w:r>
      <w:r w:rsidR="0070299B" w:rsidRPr="004D731C">
        <w:rPr>
          <w:color w:val="000000" w:themeColor="text1"/>
        </w:rPr>
        <w:t>public programming events</w:t>
      </w:r>
      <w:r w:rsidR="00C30C99" w:rsidRPr="004D731C">
        <w:rPr>
          <w:color w:val="000000" w:themeColor="text1"/>
        </w:rPr>
        <w:t>.</w:t>
      </w:r>
    </w:p>
    <w:p w14:paraId="65458C65" w14:textId="3C8CE6E1" w:rsidR="002121CA" w:rsidRDefault="00AA42F0" w:rsidP="002121CA">
      <w:pPr>
        <w:pStyle w:val="ListParagraph"/>
        <w:numPr>
          <w:ilvl w:val="1"/>
          <w:numId w:val="6"/>
        </w:numPr>
        <w:spacing w:after="257" w:line="247" w:lineRule="auto"/>
        <w:ind w:right="874"/>
      </w:pPr>
      <w:r>
        <w:t xml:space="preserve">Third </w:t>
      </w:r>
      <w:r w:rsidR="000E73D6">
        <w:t>parties shall be entitled to reserve exclusive rights to use the Square at any time up to 12 months in advance</w:t>
      </w:r>
      <w:r w:rsidR="009B092D">
        <w:t xml:space="preserve"> on a first</w:t>
      </w:r>
      <w:r w:rsidR="0052216E">
        <w:t xml:space="preserve"> </w:t>
      </w:r>
      <w:r w:rsidR="009B092D">
        <w:t>come</w:t>
      </w:r>
      <w:r>
        <w:t>,</w:t>
      </w:r>
      <w:r w:rsidR="00F86989">
        <w:t xml:space="preserve"> </w:t>
      </w:r>
      <w:r w:rsidR="009B092D">
        <w:t>first served basis</w:t>
      </w:r>
      <w:r w:rsidR="00127D27">
        <w:t xml:space="preserve"> by booking these uses with </w:t>
      </w:r>
      <w:r w:rsidR="00F22BF0">
        <w:t xml:space="preserve">the </w:t>
      </w:r>
      <w:r w:rsidR="00127D27">
        <w:t>City</w:t>
      </w:r>
      <w:r w:rsidR="004A31C3">
        <w:t xml:space="preserve"> (through the office of </w:t>
      </w:r>
      <w:r w:rsidR="00D85012" w:rsidRPr="004D731C">
        <w:rPr>
          <w:color w:val="000000" w:themeColor="text1"/>
        </w:rPr>
        <w:t>Special Events, Film and Tourism</w:t>
      </w:r>
      <w:r w:rsidR="004A31C3" w:rsidRPr="004D731C">
        <w:rPr>
          <w:color w:val="000000" w:themeColor="text1"/>
        </w:rPr>
        <w:t>).</w:t>
      </w:r>
    </w:p>
    <w:p w14:paraId="1B814234" w14:textId="77777777" w:rsidR="00745023" w:rsidRDefault="00745023" w:rsidP="00745023">
      <w:pPr>
        <w:pStyle w:val="ListParagraph"/>
        <w:spacing w:after="257" w:line="247" w:lineRule="auto"/>
        <w:ind w:left="1080" w:right="874"/>
      </w:pPr>
    </w:p>
    <w:p w14:paraId="0910E012" w14:textId="04FEBEBA" w:rsidR="009D1C24" w:rsidRDefault="00A420E3" w:rsidP="009D1C24">
      <w:pPr>
        <w:pStyle w:val="ListParagraph"/>
        <w:numPr>
          <w:ilvl w:val="0"/>
          <w:numId w:val="6"/>
        </w:numPr>
        <w:spacing w:after="257" w:line="247" w:lineRule="auto"/>
        <w:ind w:right="874"/>
      </w:pPr>
      <w:r w:rsidRPr="00745023">
        <w:rPr>
          <w:u w:val="single"/>
        </w:rPr>
        <w:t>City Manager Approval</w:t>
      </w:r>
      <w:r>
        <w:t xml:space="preserve">. </w:t>
      </w:r>
      <w:r w:rsidR="00745023">
        <w:t xml:space="preserve"> </w:t>
      </w:r>
      <w:r>
        <w:t xml:space="preserve">City and </w:t>
      </w:r>
      <w:r w:rsidR="00745023">
        <w:t>Telfair</w:t>
      </w:r>
      <w:r>
        <w:t xml:space="preserve"> acknowledge and agree that the</w:t>
      </w:r>
      <w:r w:rsidR="006704AE">
        <w:t xml:space="preserve">y </w:t>
      </w:r>
      <w:r>
        <w:t xml:space="preserve">may need to execute one or more amendments to this </w:t>
      </w:r>
      <w:r w:rsidR="006704AE">
        <w:t xml:space="preserve">Agreement </w:t>
      </w:r>
      <w:r w:rsidR="006555AB">
        <w:t xml:space="preserve">in furtherance of its Purpose.  </w:t>
      </w:r>
      <w:r>
        <w:t xml:space="preserve">The City </w:t>
      </w:r>
      <w:r w:rsidR="006555AB">
        <w:t>hereby authorizes</w:t>
      </w:r>
      <w:r>
        <w:t xml:space="preserve"> the City Manager to execute amendments to this </w:t>
      </w:r>
      <w:r w:rsidR="006555AB">
        <w:t>Agreement</w:t>
      </w:r>
      <w:r>
        <w:t xml:space="preserve"> that are in furtherance of the terms and conditions contained herein. </w:t>
      </w:r>
    </w:p>
    <w:p w14:paraId="4062A1F6" w14:textId="77777777" w:rsidR="009D1C24" w:rsidRDefault="009D1C24" w:rsidP="009D1C24">
      <w:pPr>
        <w:pStyle w:val="ListParagraph"/>
        <w:spacing w:after="257" w:line="247" w:lineRule="auto"/>
        <w:ind w:left="360" w:right="874"/>
      </w:pPr>
    </w:p>
    <w:p w14:paraId="392EA738" w14:textId="04822846" w:rsidR="009D1C24" w:rsidRPr="008804FC" w:rsidRDefault="009D1C24" w:rsidP="00A420E3">
      <w:pPr>
        <w:pStyle w:val="ListParagraph"/>
        <w:numPr>
          <w:ilvl w:val="0"/>
          <w:numId w:val="6"/>
        </w:numPr>
        <w:spacing w:after="257" w:line="247" w:lineRule="auto"/>
        <w:ind w:right="874"/>
      </w:pPr>
      <w:r w:rsidRPr="008804FC">
        <w:rPr>
          <w:u w:val="single"/>
        </w:rPr>
        <w:t>Term of Agreement</w:t>
      </w:r>
      <w:r w:rsidRPr="008804FC">
        <w:t xml:space="preserve">.  The term of this Agreement </w:t>
      </w:r>
      <w:r w:rsidR="000B2895" w:rsidRPr="008804FC">
        <w:t xml:space="preserve">shall be for five (5) years following the Effective Date and the Telfair </w:t>
      </w:r>
      <w:r w:rsidR="000B2895" w:rsidRPr="004D731C">
        <w:rPr>
          <w:color w:val="000000" w:themeColor="text1"/>
        </w:rPr>
        <w:t xml:space="preserve">shall have </w:t>
      </w:r>
      <w:r w:rsidR="00D0445B" w:rsidRPr="004D731C">
        <w:rPr>
          <w:color w:val="000000" w:themeColor="text1"/>
        </w:rPr>
        <w:t xml:space="preserve">nine (9) </w:t>
      </w:r>
      <w:r w:rsidR="000B2895" w:rsidRPr="004D731C">
        <w:rPr>
          <w:color w:val="000000" w:themeColor="text1"/>
        </w:rPr>
        <w:t xml:space="preserve">options </w:t>
      </w:r>
      <w:r w:rsidR="000B2895" w:rsidRPr="008804FC">
        <w:t xml:space="preserve">to extend the term for an additional five (5) years (such that the initial term plus all option periods is </w:t>
      </w:r>
      <w:r w:rsidR="001954E2" w:rsidRPr="008804FC">
        <w:t xml:space="preserve">fifty </w:t>
      </w:r>
      <w:r w:rsidR="000B2895" w:rsidRPr="008804FC">
        <w:t>(</w:t>
      </w:r>
      <w:r w:rsidR="001954E2" w:rsidRPr="008804FC">
        <w:t>50</w:t>
      </w:r>
      <w:r w:rsidR="000B2895" w:rsidRPr="008804FC">
        <w:t xml:space="preserve">) years).  Options </w:t>
      </w:r>
      <w:r w:rsidR="007E20E1" w:rsidRPr="008804FC">
        <w:t>shall renew automatically without any action be either Party</w:t>
      </w:r>
      <w:r w:rsidR="00A54639" w:rsidRPr="008804FC">
        <w:t xml:space="preserve"> unless, as determined in its sole discretion, Telfair provides written notice to the City</w:t>
      </w:r>
      <w:r w:rsidR="00473D8E" w:rsidRPr="008804FC">
        <w:t xml:space="preserve"> </w:t>
      </w:r>
      <w:r w:rsidR="00A65B6C" w:rsidRPr="008804FC">
        <w:t xml:space="preserve">at least ten (10) calendar days </w:t>
      </w:r>
      <w:r w:rsidR="00CE3C1E" w:rsidRPr="008804FC">
        <w:t>before expiration of the then-current term f Telfair’s intent not to renew</w:t>
      </w:r>
      <w:r w:rsidR="00BB68C3" w:rsidRPr="008804FC">
        <w:t>.</w:t>
      </w:r>
      <w:r w:rsidR="00127D27" w:rsidRPr="008804FC">
        <w:t xml:space="preserve"> </w:t>
      </w:r>
    </w:p>
    <w:p w14:paraId="674D7470" w14:textId="77777777" w:rsidR="00F86989" w:rsidRDefault="00F86989" w:rsidP="00F86989">
      <w:pPr>
        <w:pStyle w:val="ListParagraph"/>
      </w:pPr>
    </w:p>
    <w:p w14:paraId="761FA739" w14:textId="5AE8A239" w:rsidR="00B374FB" w:rsidRPr="004D731C" w:rsidRDefault="00F86989" w:rsidP="004D731C">
      <w:pPr>
        <w:pStyle w:val="ListParagraph"/>
        <w:numPr>
          <w:ilvl w:val="0"/>
          <w:numId w:val="6"/>
        </w:numPr>
        <w:spacing w:after="257" w:line="247" w:lineRule="auto"/>
        <w:ind w:right="874"/>
      </w:pPr>
      <w:r w:rsidRPr="00F86989">
        <w:rPr>
          <w:u w:val="single"/>
        </w:rPr>
        <w:t>Termination</w:t>
      </w:r>
      <w:r>
        <w:t xml:space="preserve">.  </w:t>
      </w:r>
      <w:r w:rsidR="003F1227">
        <w:t>The City acknowledges and agrees that Telfair’s ability to develop and implement the Master Plan is contingent on Telfair’s ability to obtain third</w:t>
      </w:r>
      <w:r w:rsidR="005343C2">
        <w:t xml:space="preserve">-party </w:t>
      </w:r>
      <w:r w:rsidR="003F1227">
        <w:t xml:space="preserve">contributions sufficient to fund such work.  </w:t>
      </w:r>
      <w:r w:rsidR="001F0C31">
        <w:t xml:space="preserve">Accordingly, Telfair shall have the right to terminate this Agreement </w:t>
      </w:r>
      <w:r w:rsidR="007906B9">
        <w:t>at any time by giving written notice thereof to the City and following such termination neither Party shall have any further obligation to the other hereunder</w:t>
      </w:r>
      <w:r w:rsidR="004D731C">
        <w:t>.</w:t>
      </w:r>
    </w:p>
    <w:p w14:paraId="7254D124" w14:textId="77777777" w:rsidR="0052216E" w:rsidRDefault="0052216E" w:rsidP="0052216E">
      <w:pPr>
        <w:pStyle w:val="ListParagraph"/>
      </w:pPr>
    </w:p>
    <w:p w14:paraId="237CEA27" w14:textId="7CA8802B" w:rsidR="00A420E3" w:rsidRDefault="00A420E3" w:rsidP="00A420E3">
      <w:pPr>
        <w:pStyle w:val="ListParagraph"/>
        <w:numPr>
          <w:ilvl w:val="0"/>
          <w:numId w:val="6"/>
        </w:numPr>
        <w:spacing w:after="257" w:line="247" w:lineRule="auto"/>
        <w:ind w:right="874"/>
      </w:pPr>
      <w:r w:rsidRPr="0052216E">
        <w:rPr>
          <w:u w:val="single"/>
        </w:rPr>
        <w:t>Entire Agreement</w:t>
      </w:r>
      <w:r>
        <w:t xml:space="preserve">. There are no other agreements or understandings, either oral or written, between the parties affecting this Amendment or the subject matter covered by this Amendment, except as otherwise specifically provided for or referred to herein. No change or addition to, or deletion of, any portion of this Amendment shall be valid or binding upon the </w:t>
      </w:r>
      <w:r w:rsidR="00AE4BB3">
        <w:t>P</w:t>
      </w:r>
      <w:r>
        <w:t xml:space="preserve">arties hereto unless the same is approved in writing by the </w:t>
      </w:r>
      <w:r w:rsidR="00AE4BB3">
        <w:t>Parties</w:t>
      </w:r>
      <w:r>
        <w:t>.</w:t>
      </w:r>
    </w:p>
    <w:p w14:paraId="590CCAD7" w14:textId="77777777" w:rsidR="00810355" w:rsidRDefault="00810355" w:rsidP="00810355">
      <w:pPr>
        <w:pStyle w:val="ListParagraph"/>
      </w:pPr>
    </w:p>
    <w:p w14:paraId="2C917621" w14:textId="71B4D460" w:rsidR="007C4ACD" w:rsidRDefault="00810355" w:rsidP="00810355">
      <w:pPr>
        <w:pStyle w:val="ListParagraph"/>
        <w:numPr>
          <w:ilvl w:val="0"/>
          <w:numId w:val="6"/>
        </w:numPr>
        <w:spacing w:after="257" w:line="247" w:lineRule="auto"/>
        <w:ind w:right="874"/>
      </w:pPr>
      <w:r w:rsidRPr="00810355">
        <w:rPr>
          <w:u w:val="single"/>
        </w:rPr>
        <w:t>Notices</w:t>
      </w:r>
      <w:r>
        <w:t xml:space="preserve">.   </w:t>
      </w:r>
      <w:r w:rsidR="00B833F7">
        <w:t>Any notice to either party hereunder must be in writing signed by the party giving it, and shall be deemed given when mailed postage prepaid by the U.S. Postal Service first class, certified or express mail or other overnight mail service, or hand delivered, when addressed as follows:</w:t>
      </w:r>
      <w:r w:rsidR="00B833F7">
        <w:rPr>
          <w:noProof/>
        </w:rPr>
        <w:drawing>
          <wp:inline distT="0" distB="0" distL="0" distR="0" wp14:anchorId="6B32366B" wp14:editId="005E9672">
            <wp:extent cx="3048" cy="3049"/>
            <wp:effectExtent l="0" t="0" r="0" b="0"/>
            <wp:docPr id="9456" name="Picture 9456"/>
            <wp:cNvGraphicFramePr/>
            <a:graphic xmlns:a="http://schemas.openxmlformats.org/drawingml/2006/main">
              <a:graphicData uri="http://schemas.openxmlformats.org/drawingml/2006/picture">
                <pic:pic xmlns:pic="http://schemas.openxmlformats.org/drawingml/2006/picture">
                  <pic:nvPicPr>
                    <pic:cNvPr id="9456" name="Picture 9456"/>
                    <pic:cNvPicPr/>
                  </pic:nvPicPr>
                  <pic:blipFill>
                    <a:blip r:embed="rId10"/>
                    <a:stretch>
                      <a:fillRect/>
                    </a:stretch>
                  </pic:blipFill>
                  <pic:spPr>
                    <a:xfrm>
                      <a:off x="0" y="0"/>
                      <a:ext cx="3048" cy="3049"/>
                    </a:xfrm>
                    <a:prstGeom prst="rect">
                      <a:avLst/>
                    </a:prstGeom>
                  </pic:spPr>
                </pic:pic>
              </a:graphicData>
            </a:graphic>
          </wp:inline>
        </w:drawing>
      </w:r>
    </w:p>
    <w:p w14:paraId="2E2F169E" w14:textId="77777777" w:rsidR="005E41BB" w:rsidRDefault="005E41BB" w:rsidP="005E41BB">
      <w:pPr>
        <w:pStyle w:val="ListParagraph"/>
        <w:spacing w:after="15" w:line="247" w:lineRule="auto"/>
        <w:ind w:left="360" w:right="874"/>
      </w:pPr>
    </w:p>
    <w:p w14:paraId="6356EE1B" w14:textId="067413FA" w:rsidR="005E41BB" w:rsidRDefault="005E41BB" w:rsidP="005E41BB">
      <w:pPr>
        <w:pStyle w:val="ListParagraph"/>
        <w:spacing w:after="15" w:line="247" w:lineRule="auto"/>
        <w:ind w:right="874"/>
      </w:pPr>
      <w:r>
        <w:t xml:space="preserve">To City: </w:t>
      </w:r>
    </w:p>
    <w:p w14:paraId="769CEDCF" w14:textId="77777777" w:rsidR="003B4746" w:rsidRPr="004D731C" w:rsidRDefault="003B4746" w:rsidP="005E41BB">
      <w:pPr>
        <w:pStyle w:val="ListParagraph"/>
        <w:spacing w:after="246" w:line="247" w:lineRule="auto"/>
        <w:ind w:right="874"/>
        <w:rPr>
          <w:color w:val="000000" w:themeColor="text1"/>
          <w:lang w:val="it-IT"/>
        </w:rPr>
      </w:pPr>
    </w:p>
    <w:p w14:paraId="7792AA21" w14:textId="77777777" w:rsidR="003B4746" w:rsidRPr="004D731C" w:rsidRDefault="003B4746" w:rsidP="003B4746">
      <w:pPr>
        <w:pStyle w:val="ListParagraph"/>
        <w:spacing w:after="246" w:line="247" w:lineRule="auto"/>
        <w:ind w:right="874"/>
        <w:rPr>
          <w:color w:val="000000" w:themeColor="text1"/>
          <w:lang w:val="it-IT"/>
        </w:rPr>
      </w:pPr>
      <w:r w:rsidRPr="004D731C">
        <w:rPr>
          <w:color w:val="000000" w:themeColor="text1"/>
          <w:lang w:val="it-IT"/>
        </w:rPr>
        <w:t>City of Savannah</w:t>
      </w:r>
    </w:p>
    <w:p w14:paraId="5095BD1B" w14:textId="77777777" w:rsidR="003B4746" w:rsidRPr="004D731C" w:rsidRDefault="003B4746" w:rsidP="003B4746">
      <w:pPr>
        <w:pStyle w:val="ListParagraph"/>
        <w:spacing w:after="246" w:line="247" w:lineRule="auto"/>
        <w:ind w:right="874"/>
        <w:rPr>
          <w:color w:val="000000" w:themeColor="text1"/>
          <w:lang w:val="it-IT"/>
        </w:rPr>
      </w:pPr>
      <w:r w:rsidRPr="004D731C">
        <w:rPr>
          <w:color w:val="000000" w:themeColor="text1"/>
          <w:lang w:val="it-IT"/>
        </w:rPr>
        <w:t>Attention: City Manager</w:t>
      </w:r>
    </w:p>
    <w:p w14:paraId="1B849E3C" w14:textId="77777777" w:rsidR="003B4746" w:rsidRPr="004D731C" w:rsidRDefault="003B4746" w:rsidP="003B4746">
      <w:pPr>
        <w:pStyle w:val="ListParagraph"/>
        <w:spacing w:after="246" w:line="247" w:lineRule="auto"/>
        <w:ind w:right="874"/>
        <w:rPr>
          <w:color w:val="000000" w:themeColor="text1"/>
          <w:lang w:val="it-IT"/>
        </w:rPr>
      </w:pPr>
      <w:r w:rsidRPr="004D731C">
        <w:rPr>
          <w:color w:val="000000" w:themeColor="text1"/>
          <w:lang w:val="it-IT"/>
        </w:rPr>
        <w:t>City Hall</w:t>
      </w:r>
    </w:p>
    <w:p w14:paraId="49B72D14" w14:textId="77777777" w:rsidR="003B4746" w:rsidRPr="004D731C" w:rsidRDefault="003B4746" w:rsidP="003B4746">
      <w:pPr>
        <w:pStyle w:val="ListParagraph"/>
        <w:spacing w:after="246" w:line="247" w:lineRule="auto"/>
        <w:ind w:right="874"/>
        <w:rPr>
          <w:color w:val="000000" w:themeColor="text1"/>
          <w:lang w:val="it-IT"/>
        </w:rPr>
      </w:pPr>
      <w:r w:rsidRPr="004D731C">
        <w:rPr>
          <w:color w:val="000000" w:themeColor="text1"/>
          <w:lang w:val="it-IT"/>
        </w:rPr>
        <w:t>2 East Bay Street</w:t>
      </w:r>
    </w:p>
    <w:p w14:paraId="13492479" w14:textId="77777777" w:rsidR="003B4746" w:rsidRPr="004D731C" w:rsidRDefault="003B4746" w:rsidP="003B4746">
      <w:pPr>
        <w:pStyle w:val="ListParagraph"/>
        <w:spacing w:after="246" w:line="247" w:lineRule="auto"/>
        <w:ind w:right="874"/>
        <w:rPr>
          <w:color w:val="000000" w:themeColor="text1"/>
          <w:lang w:val="it-IT"/>
        </w:rPr>
      </w:pPr>
      <w:r w:rsidRPr="004D731C">
        <w:rPr>
          <w:color w:val="000000" w:themeColor="text1"/>
          <w:lang w:val="it-IT"/>
        </w:rPr>
        <w:t>Savannah, GA 31401</w:t>
      </w:r>
    </w:p>
    <w:p w14:paraId="21EFFC54" w14:textId="77777777" w:rsidR="003B4746" w:rsidRPr="004D731C" w:rsidRDefault="003B4746" w:rsidP="003B4746">
      <w:pPr>
        <w:pStyle w:val="ListParagraph"/>
        <w:spacing w:after="246" w:line="247" w:lineRule="auto"/>
        <w:ind w:right="874"/>
        <w:rPr>
          <w:color w:val="000000" w:themeColor="text1"/>
          <w:lang w:val="it-IT"/>
        </w:rPr>
      </w:pPr>
    </w:p>
    <w:p w14:paraId="0CD08A82" w14:textId="77777777" w:rsidR="003B4746" w:rsidRPr="004D731C" w:rsidRDefault="003B4746" w:rsidP="003B4746">
      <w:pPr>
        <w:pStyle w:val="ListParagraph"/>
        <w:spacing w:after="246" w:line="247" w:lineRule="auto"/>
        <w:ind w:right="874"/>
        <w:rPr>
          <w:color w:val="000000" w:themeColor="text1"/>
          <w:lang w:val="it-IT"/>
        </w:rPr>
      </w:pPr>
      <w:r w:rsidRPr="004D731C">
        <w:rPr>
          <w:color w:val="000000" w:themeColor="text1"/>
          <w:lang w:val="it-IT"/>
        </w:rPr>
        <w:t xml:space="preserve">with a copy to: </w:t>
      </w:r>
    </w:p>
    <w:p w14:paraId="367C0FE3" w14:textId="77777777" w:rsidR="003B4746" w:rsidRPr="004D731C" w:rsidRDefault="003B4746" w:rsidP="003B4746">
      <w:pPr>
        <w:pStyle w:val="ListParagraph"/>
        <w:spacing w:after="246" w:line="247" w:lineRule="auto"/>
        <w:ind w:right="874"/>
        <w:rPr>
          <w:color w:val="000000" w:themeColor="text1"/>
          <w:lang w:val="it-IT"/>
        </w:rPr>
      </w:pPr>
    </w:p>
    <w:p w14:paraId="1DC0494D" w14:textId="375E44A4" w:rsidR="003B4746" w:rsidRPr="004D731C" w:rsidRDefault="003B4746" w:rsidP="003B4746">
      <w:pPr>
        <w:pStyle w:val="ListParagraph"/>
        <w:spacing w:after="246" w:line="247" w:lineRule="auto"/>
        <w:ind w:right="874"/>
        <w:rPr>
          <w:color w:val="000000" w:themeColor="text1"/>
          <w:lang w:val="it-IT"/>
        </w:rPr>
      </w:pPr>
      <w:r w:rsidRPr="004D731C">
        <w:rPr>
          <w:color w:val="000000" w:themeColor="text1"/>
          <w:lang w:val="it-IT"/>
        </w:rPr>
        <w:t>City Attorney</w:t>
      </w:r>
    </w:p>
    <w:p w14:paraId="74C8D674" w14:textId="77777777" w:rsidR="003B4746" w:rsidRPr="004D731C" w:rsidRDefault="003B4746" w:rsidP="003B4746">
      <w:pPr>
        <w:pStyle w:val="ListParagraph"/>
        <w:spacing w:after="246" w:line="247" w:lineRule="auto"/>
        <w:ind w:right="874"/>
        <w:rPr>
          <w:color w:val="000000" w:themeColor="text1"/>
          <w:lang w:val="it-IT"/>
        </w:rPr>
      </w:pPr>
      <w:r w:rsidRPr="004D731C">
        <w:rPr>
          <w:color w:val="000000" w:themeColor="text1"/>
          <w:lang w:val="it-IT"/>
        </w:rPr>
        <w:t>Office of the City Attorney</w:t>
      </w:r>
    </w:p>
    <w:p w14:paraId="57D804EB" w14:textId="71B842C6" w:rsidR="003B4746" w:rsidRPr="004D731C" w:rsidRDefault="008947E8" w:rsidP="003B4746">
      <w:pPr>
        <w:pStyle w:val="ListParagraph"/>
        <w:spacing w:after="246" w:line="247" w:lineRule="auto"/>
        <w:ind w:right="874"/>
        <w:rPr>
          <w:color w:val="000000" w:themeColor="text1"/>
          <w:lang w:val="it-IT"/>
        </w:rPr>
      </w:pPr>
      <w:r w:rsidRPr="004D731C">
        <w:rPr>
          <w:color w:val="000000" w:themeColor="text1"/>
          <w:lang w:val="it-IT"/>
        </w:rPr>
        <w:t>2</w:t>
      </w:r>
      <w:r w:rsidR="003B4746" w:rsidRPr="004D731C">
        <w:rPr>
          <w:color w:val="000000" w:themeColor="text1"/>
          <w:lang w:val="it-IT"/>
        </w:rPr>
        <w:t xml:space="preserve"> East </w:t>
      </w:r>
      <w:proofErr w:type="spellStart"/>
      <w:r w:rsidR="003B4746" w:rsidRPr="004D731C">
        <w:rPr>
          <w:color w:val="000000" w:themeColor="text1"/>
          <w:lang w:val="it-IT"/>
        </w:rPr>
        <w:t>Bay</w:t>
      </w:r>
      <w:proofErr w:type="spellEnd"/>
      <w:r w:rsidR="003B4746" w:rsidRPr="004D731C">
        <w:rPr>
          <w:color w:val="000000" w:themeColor="text1"/>
          <w:lang w:val="it-IT"/>
        </w:rPr>
        <w:t xml:space="preserve"> Street, 3rd </w:t>
      </w:r>
      <w:proofErr w:type="spellStart"/>
      <w:r w:rsidR="003B4746" w:rsidRPr="004D731C">
        <w:rPr>
          <w:color w:val="000000" w:themeColor="text1"/>
          <w:lang w:val="it-IT"/>
        </w:rPr>
        <w:t>Floor</w:t>
      </w:r>
      <w:proofErr w:type="spellEnd"/>
    </w:p>
    <w:p w14:paraId="1541910D" w14:textId="77777777" w:rsidR="003B4746" w:rsidRPr="004D731C" w:rsidRDefault="003B4746" w:rsidP="003B4746">
      <w:pPr>
        <w:pStyle w:val="ListParagraph"/>
        <w:spacing w:after="246" w:line="247" w:lineRule="auto"/>
        <w:ind w:right="874"/>
        <w:rPr>
          <w:color w:val="000000" w:themeColor="text1"/>
          <w:lang w:val="it-IT"/>
        </w:rPr>
      </w:pPr>
      <w:r w:rsidRPr="004D731C">
        <w:rPr>
          <w:color w:val="000000" w:themeColor="text1"/>
          <w:lang w:val="it-IT"/>
        </w:rPr>
        <w:t>Savannah, GA 31401</w:t>
      </w:r>
    </w:p>
    <w:p w14:paraId="0AD2BCF2" w14:textId="77777777" w:rsidR="005E41BB" w:rsidRPr="009C0BB6" w:rsidRDefault="005E41BB" w:rsidP="005E41BB">
      <w:pPr>
        <w:pStyle w:val="ListParagraph"/>
        <w:spacing w:after="264" w:line="247" w:lineRule="auto"/>
        <w:ind w:right="874"/>
        <w:rPr>
          <w:lang w:val="it-IT"/>
        </w:rPr>
      </w:pPr>
    </w:p>
    <w:p w14:paraId="449B54DA" w14:textId="3E6A307B" w:rsidR="005E41BB" w:rsidRDefault="005E41BB" w:rsidP="005E41BB">
      <w:pPr>
        <w:pStyle w:val="ListParagraph"/>
        <w:spacing w:after="264" w:line="247" w:lineRule="auto"/>
        <w:ind w:right="874"/>
      </w:pPr>
      <w:r>
        <w:t xml:space="preserve">To Telfair: </w:t>
      </w:r>
    </w:p>
    <w:p w14:paraId="1BB6C3A3" w14:textId="77777777" w:rsidR="005E41BB" w:rsidRDefault="005E41BB" w:rsidP="005E41BB">
      <w:pPr>
        <w:pStyle w:val="ListParagraph"/>
        <w:spacing w:after="541" w:line="247" w:lineRule="auto"/>
        <w:ind w:right="874"/>
      </w:pPr>
    </w:p>
    <w:p w14:paraId="16130FC8" w14:textId="51A756B8" w:rsidR="005E41BB" w:rsidRDefault="005E41BB" w:rsidP="005E41BB">
      <w:pPr>
        <w:pStyle w:val="ListParagraph"/>
        <w:spacing w:after="541" w:line="247" w:lineRule="auto"/>
        <w:ind w:right="874"/>
      </w:pPr>
      <w:r>
        <w:t>Other addressee(s) may also be hereafter designated by written notice. All such notices shall be effective only when received by the addressee.</w:t>
      </w:r>
    </w:p>
    <w:p w14:paraId="136DDCA2" w14:textId="77777777" w:rsidR="005E41BB" w:rsidRDefault="005E41BB" w:rsidP="005E41BB">
      <w:pPr>
        <w:pStyle w:val="ListParagraph"/>
      </w:pPr>
    </w:p>
    <w:p w14:paraId="68A6FF50" w14:textId="38A02877" w:rsidR="00393C31" w:rsidRDefault="005E41BB" w:rsidP="00393C31">
      <w:pPr>
        <w:pStyle w:val="ListParagraph"/>
        <w:numPr>
          <w:ilvl w:val="0"/>
          <w:numId w:val="6"/>
        </w:numPr>
        <w:spacing w:after="257" w:line="247" w:lineRule="auto"/>
        <w:ind w:right="874"/>
      </w:pPr>
      <w:r w:rsidRPr="00B0608D">
        <w:rPr>
          <w:u w:val="single"/>
        </w:rPr>
        <w:t>Governing Law</w:t>
      </w:r>
      <w:r>
        <w:t xml:space="preserve">.  This Agreement </w:t>
      </w:r>
      <w:r w:rsidR="00B833F7">
        <w:t>shall in all respects be governed by, and construed in accordance with, the laws of the State of Georgia</w:t>
      </w:r>
      <w:r w:rsidR="00393C31">
        <w:t xml:space="preserve"> without reference to rules regarding choice of law</w:t>
      </w:r>
      <w:r w:rsidR="00B833F7">
        <w:t>.</w:t>
      </w:r>
    </w:p>
    <w:p w14:paraId="6F81F020" w14:textId="77777777" w:rsidR="00F32B16" w:rsidRDefault="00F32B16" w:rsidP="00F32B16">
      <w:pPr>
        <w:spacing w:after="15" w:line="247" w:lineRule="auto"/>
        <w:ind w:right="874"/>
      </w:pPr>
    </w:p>
    <w:p w14:paraId="1B7739C1" w14:textId="6428E14E" w:rsidR="00F32B16" w:rsidRDefault="00585BD8" w:rsidP="00F32B16">
      <w:pPr>
        <w:spacing w:after="15" w:line="247" w:lineRule="auto"/>
        <w:ind w:right="874"/>
      </w:pPr>
      <w:r w:rsidRPr="00585BD8">
        <w:t xml:space="preserve">IN WITNESS WHEREOF, the </w:t>
      </w:r>
      <w:r>
        <w:t>P</w:t>
      </w:r>
      <w:r w:rsidRPr="00585BD8">
        <w:t>arties hereto have executed this Amendment under seal as of the day and year first above written.</w:t>
      </w:r>
    </w:p>
    <w:p w14:paraId="4C4FD13F" w14:textId="77777777" w:rsidR="00585BD8" w:rsidRDefault="00585BD8" w:rsidP="00F32B16">
      <w:pPr>
        <w:spacing w:after="15" w:line="247" w:lineRule="auto"/>
        <w:ind w:right="874"/>
      </w:pPr>
    </w:p>
    <w:p w14:paraId="3DE4B51A" w14:textId="77777777" w:rsidR="004D731C" w:rsidRPr="004D731C" w:rsidRDefault="004D731C" w:rsidP="00F32B16">
      <w:pPr>
        <w:spacing w:after="15" w:line="247" w:lineRule="auto"/>
        <w:ind w:right="874"/>
        <w:rPr>
          <w:color w:val="000000" w:themeColor="text1"/>
        </w:rPr>
      </w:pPr>
    </w:p>
    <w:p w14:paraId="6B91ACFB" w14:textId="77777777" w:rsidR="004D731C" w:rsidRPr="004D731C" w:rsidRDefault="004D731C" w:rsidP="00F32B16">
      <w:pPr>
        <w:spacing w:after="15" w:line="247" w:lineRule="auto"/>
        <w:ind w:right="874"/>
        <w:rPr>
          <w:color w:val="000000" w:themeColor="text1"/>
        </w:rPr>
      </w:pPr>
    </w:p>
    <w:p w14:paraId="0210D94E" w14:textId="77777777" w:rsidR="004D731C" w:rsidRPr="004D731C" w:rsidRDefault="00585BD8" w:rsidP="004D731C">
      <w:pPr>
        <w:spacing w:after="15" w:line="247" w:lineRule="auto"/>
        <w:ind w:right="874"/>
        <w:rPr>
          <w:color w:val="000000" w:themeColor="text1"/>
        </w:rPr>
      </w:pPr>
      <w:r w:rsidRPr="004D731C">
        <w:rPr>
          <w:color w:val="000000" w:themeColor="text1"/>
        </w:rPr>
        <w:t>THE TELFAIR MUSEUMS, INC.</w:t>
      </w:r>
      <w:r w:rsidR="004D731C" w:rsidRPr="004D731C">
        <w:rPr>
          <w:color w:val="000000" w:themeColor="text1"/>
        </w:rPr>
        <w:tab/>
      </w:r>
      <w:r w:rsidR="004D731C" w:rsidRPr="004D731C">
        <w:rPr>
          <w:color w:val="000000" w:themeColor="text1"/>
        </w:rPr>
        <w:tab/>
      </w:r>
      <w:r w:rsidR="004D731C" w:rsidRPr="004D731C">
        <w:rPr>
          <w:color w:val="000000" w:themeColor="text1"/>
        </w:rPr>
        <w:tab/>
      </w:r>
      <w:r w:rsidR="004D731C" w:rsidRPr="004D731C">
        <w:rPr>
          <w:color w:val="000000" w:themeColor="text1"/>
        </w:rPr>
        <w:tab/>
      </w:r>
      <w:r w:rsidR="004D731C" w:rsidRPr="004D731C">
        <w:rPr>
          <w:color w:val="000000" w:themeColor="text1"/>
        </w:rPr>
        <w:t xml:space="preserve">THE MAYOR AND ALDERMAN OF THE </w:t>
      </w:r>
    </w:p>
    <w:p w14:paraId="09E1F8FA" w14:textId="3F2FA211" w:rsidR="00585BD8" w:rsidRPr="004D731C" w:rsidRDefault="004D731C" w:rsidP="00F32B16">
      <w:pPr>
        <w:spacing w:after="15" w:line="247" w:lineRule="auto"/>
        <w:ind w:right="874"/>
        <w:rPr>
          <w:color w:val="000000" w:themeColor="text1"/>
        </w:rPr>
      </w:pPr>
      <w:r w:rsidRPr="004D731C">
        <w:rPr>
          <w:color w:val="000000" w:themeColor="text1"/>
        </w:rPr>
        <w:tab/>
      </w:r>
      <w:r w:rsidRPr="004D731C">
        <w:rPr>
          <w:color w:val="000000" w:themeColor="text1"/>
        </w:rPr>
        <w:tab/>
      </w:r>
      <w:r w:rsidRPr="004D731C">
        <w:rPr>
          <w:color w:val="000000" w:themeColor="text1"/>
        </w:rPr>
        <w:tab/>
      </w:r>
      <w:r w:rsidRPr="004D731C">
        <w:rPr>
          <w:color w:val="000000" w:themeColor="text1"/>
        </w:rPr>
        <w:tab/>
      </w:r>
      <w:r w:rsidRPr="004D731C">
        <w:rPr>
          <w:color w:val="000000" w:themeColor="text1"/>
        </w:rPr>
        <w:tab/>
      </w:r>
      <w:r w:rsidRPr="004D731C">
        <w:rPr>
          <w:color w:val="000000" w:themeColor="text1"/>
        </w:rPr>
        <w:tab/>
      </w:r>
      <w:r w:rsidRPr="004D731C">
        <w:rPr>
          <w:color w:val="000000" w:themeColor="text1"/>
        </w:rPr>
        <w:tab/>
      </w:r>
      <w:r w:rsidRPr="004D731C">
        <w:rPr>
          <w:color w:val="000000" w:themeColor="text1"/>
        </w:rPr>
        <w:t>CITY OF SAVANNAH, a Georgia municipal</w:t>
      </w:r>
    </w:p>
    <w:p w14:paraId="5E22C71D" w14:textId="39BAA0D0" w:rsidR="004D731C" w:rsidRPr="004D731C" w:rsidRDefault="004D731C" w:rsidP="00F32B16">
      <w:pPr>
        <w:spacing w:after="15" w:line="247" w:lineRule="auto"/>
        <w:ind w:right="874"/>
        <w:rPr>
          <w:color w:val="000000" w:themeColor="text1"/>
        </w:rPr>
      </w:pPr>
      <w:r w:rsidRPr="004D731C">
        <w:rPr>
          <w:color w:val="000000" w:themeColor="text1"/>
        </w:rPr>
        <w:tab/>
      </w:r>
      <w:r w:rsidRPr="004D731C">
        <w:rPr>
          <w:color w:val="000000" w:themeColor="text1"/>
        </w:rPr>
        <w:tab/>
      </w:r>
      <w:r w:rsidRPr="004D731C">
        <w:rPr>
          <w:color w:val="000000" w:themeColor="text1"/>
        </w:rPr>
        <w:tab/>
      </w:r>
      <w:r w:rsidRPr="004D731C">
        <w:rPr>
          <w:color w:val="000000" w:themeColor="text1"/>
        </w:rPr>
        <w:tab/>
      </w:r>
      <w:r w:rsidRPr="004D731C">
        <w:rPr>
          <w:color w:val="000000" w:themeColor="text1"/>
        </w:rPr>
        <w:tab/>
      </w:r>
      <w:r w:rsidRPr="004D731C">
        <w:rPr>
          <w:color w:val="000000" w:themeColor="text1"/>
        </w:rPr>
        <w:tab/>
      </w:r>
      <w:r w:rsidRPr="004D731C">
        <w:rPr>
          <w:color w:val="000000" w:themeColor="text1"/>
        </w:rPr>
        <w:tab/>
        <w:t>Corporation</w:t>
      </w:r>
    </w:p>
    <w:p w14:paraId="2A53805F" w14:textId="77777777" w:rsidR="00585BD8" w:rsidRDefault="00585BD8" w:rsidP="00F32B16">
      <w:pPr>
        <w:spacing w:after="15" w:line="247" w:lineRule="auto"/>
        <w:ind w:right="874"/>
        <w:rPr>
          <w:color w:val="000000" w:themeColor="text1"/>
        </w:rPr>
      </w:pPr>
    </w:p>
    <w:p w14:paraId="2D6CD53D" w14:textId="77777777" w:rsidR="004D731C" w:rsidRPr="004D731C" w:rsidRDefault="004D731C" w:rsidP="00F32B16">
      <w:pPr>
        <w:spacing w:after="15" w:line="247" w:lineRule="auto"/>
        <w:ind w:right="874"/>
        <w:rPr>
          <w:color w:val="000000" w:themeColor="text1"/>
        </w:rPr>
      </w:pPr>
    </w:p>
    <w:p w14:paraId="6608C92F" w14:textId="77777777" w:rsidR="004D731C" w:rsidRPr="004D731C" w:rsidRDefault="00CA368B" w:rsidP="004D731C">
      <w:pPr>
        <w:spacing w:after="15" w:line="247" w:lineRule="auto"/>
        <w:ind w:right="874"/>
        <w:rPr>
          <w:color w:val="000000" w:themeColor="text1"/>
        </w:rPr>
      </w:pPr>
      <w:r w:rsidRPr="004D731C">
        <w:rPr>
          <w:color w:val="000000" w:themeColor="text1"/>
        </w:rPr>
        <w:t>By:</w:t>
      </w:r>
      <w:r w:rsidR="00B833F7" w:rsidRPr="004D731C">
        <w:rPr>
          <w:color w:val="000000" w:themeColor="text1"/>
        </w:rPr>
        <w:t xml:space="preserve"> _______________________</w:t>
      </w:r>
      <w:r w:rsidR="004D731C" w:rsidRPr="004D731C">
        <w:rPr>
          <w:color w:val="000000" w:themeColor="text1"/>
        </w:rPr>
        <w:tab/>
      </w:r>
      <w:r w:rsidR="004D731C" w:rsidRPr="004D731C">
        <w:rPr>
          <w:color w:val="000000" w:themeColor="text1"/>
        </w:rPr>
        <w:tab/>
      </w:r>
      <w:r w:rsidR="004D731C" w:rsidRPr="004D731C">
        <w:rPr>
          <w:color w:val="000000" w:themeColor="text1"/>
        </w:rPr>
        <w:tab/>
      </w:r>
      <w:r w:rsidR="004D731C" w:rsidRPr="004D731C">
        <w:rPr>
          <w:color w:val="000000" w:themeColor="text1"/>
        </w:rPr>
        <w:tab/>
      </w:r>
      <w:r w:rsidR="004D731C" w:rsidRPr="004D731C">
        <w:rPr>
          <w:color w:val="000000" w:themeColor="text1"/>
        </w:rPr>
        <w:t>By: _______________________</w:t>
      </w:r>
    </w:p>
    <w:p w14:paraId="5C346139" w14:textId="77777777" w:rsidR="009153AC" w:rsidRPr="004D731C" w:rsidRDefault="009153AC" w:rsidP="00B833F7">
      <w:pPr>
        <w:spacing w:after="15" w:line="247" w:lineRule="auto"/>
        <w:ind w:right="874"/>
        <w:rPr>
          <w:color w:val="000000" w:themeColor="text1"/>
        </w:rPr>
      </w:pPr>
    </w:p>
    <w:p w14:paraId="03C12B15" w14:textId="4883D3CC" w:rsidR="009153AC" w:rsidRPr="004D731C" w:rsidRDefault="009153AC" w:rsidP="009153AC">
      <w:pPr>
        <w:spacing w:after="15" w:line="247" w:lineRule="auto"/>
        <w:ind w:right="874"/>
        <w:rPr>
          <w:color w:val="000000" w:themeColor="text1"/>
        </w:rPr>
      </w:pPr>
      <w:r w:rsidRPr="004D731C">
        <w:rPr>
          <w:color w:val="000000" w:themeColor="text1"/>
        </w:rPr>
        <w:t>Name:</w:t>
      </w:r>
      <w:r w:rsidRPr="004D731C">
        <w:rPr>
          <w:color w:val="000000" w:themeColor="text1"/>
        </w:rPr>
        <w:tab/>
      </w:r>
      <w:r w:rsidR="004D731C" w:rsidRPr="004D731C">
        <w:rPr>
          <w:color w:val="000000" w:themeColor="text1"/>
        </w:rPr>
        <w:tab/>
      </w:r>
      <w:r w:rsidR="004D731C" w:rsidRPr="004D731C">
        <w:rPr>
          <w:color w:val="000000" w:themeColor="text1"/>
        </w:rPr>
        <w:tab/>
      </w:r>
      <w:r w:rsidR="004D731C" w:rsidRPr="004D731C">
        <w:rPr>
          <w:color w:val="000000" w:themeColor="text1"/>
        </w:rPr>
        <w:tab/>
      </w:r>
      <w:r w:rsidR="004D731C" w:rsidRPr="004D731C">
        <w:rPr>
          <w:color w:val="000000" w:themeColor="text1"/>
        </w:rPr>
        <w:tab/>
      </w:r>
      <w:r w:rsidR="004D731C" w:rsidRPr="004D731C">
        <w:rPr>
          <w:color w:val="000000" w:themeColor="text1"/>
        </w:rPr>
        <w:tab/>
      </w:r>
      <w:r w:rsidR="004D731C" w:rsidRPr="004D731C">
        <w:rPr>
          <w:color w:val="000000" w:themeColor="text1"/>
        </w:rPr>
        <w:tab/>
      </w:r>
      <w:r w:rsidR="004D731C" w:rsidRPr="004D731C">
        <w:rPr>
          <w:color w:val="000000" w:themeColor="text1"/>
        </w:rPr>
        <w:t>Name:</w:t>
      </w:r>
      <w:r w:rsidR="004D731C" w:rsidRPr="004D731C">
        <w:rPr>
          <w:color w:val="000000" w:themeColor="text1"/>
        </w:rPr>
        <w:tab/>
        <w:t>Joseph A. Melder</w:t>
      </w:r>
    </w:p>
    <w:p w14:paraId="249E6A52" w14:textId="1C3B8395" w:rsidR="009153AC" w:rsidRPr="004D731C" w:rsidRDefault="009153AC" w:rsidP="009153AC">
      <w:pPr>
        <w:spacing w:after="15" w:line="247" w:lineRule="auto"/>
        <w:ind w:right="874"/>
        <w:rPr>
          <w:color w:val="000000" w:themeColor="text1"/>
        </w:rPr>
      </w:pPr>
      <w:r w:rsidRPr="004D731C">
        <w:rPr>
          <w:color w:val="000000" w:themeColor="text1"/>
        </w:rPr>
        <w:t>Title:</w:t>
      </w:r>
      <w:r w:rsidRPr="004D731C">
        <w:rPr>
          <w:color w:val="000000" w:themeColor="text1"/>
        </w:rPr>
        <w:tab/>
      </w:r>
      <w:r w:rsidR="004D731C" w:rsidRPr="004D731C">
        <w:rPr>
          <w:color w:val="000000" w:themeColor="text1"/>
        </w:rPr>
        <w:tab/>
      </w:r>
      <w:r w:rsidR="004D731C" w:rsidRPr="004D731C">
        <w:rPr>
          <w:color w:val="000000" w:themeColor="text1"/>
        </w:rPr>
        <w:tab/>
      </w:r>
      <w:r w:rsidR="004D731C" w:rsidRPr="004D731C">
        <w:rPr>
          <w:color w:val="000000" w:themeColor="text1"/>
        </w:rPr>
        <w:tab/>
      </w:r>
      <w:r w:rsidR="004D731C" w:rsidRPr="004D731C">
        <w:rPr>
          <w:color w:val="000000" w:themeColor="text1"/>
        </w:rPr>
        <w:tab/>
      </w:r>
      <w:r w:rsidR="004D731C" w:rsidRPr="004D731C">
        <w:rPr>
          <w:color w:val="000000" w:themeColor="text1"/>
        </w:rPr>
        <w:tab/>
      </w:r>
      <w:r w:rsidR="004D731C" w:rsidRPr="004D731C">
        <w:rPr>
          <w:color w:val="000000" w:themeColor="text1"/>
        </w:rPr>
        <w:tab/>
      </w:r>
      <w:r w:rsidR="004D731C" w:rsidRPr="004D731C">
        <w:rPr>
          <w:color w:val="000000" w:themeColor="text1"/>
        </w:rPr>
        <w:t>Title:</w:t>
      </w:r>
      <w:r w:rsidR="004D731C" w:rsidRPr="004D731C">
        <w:rPr>
          <w:color w:val="000000" w:themeColor="text1"/>
        </w:rPr>
        <w:tab/>
        <w:t>City Manager</w:t>
      </w:r>
    </w:p>
    <w:p w14:paraId="6C618D46" w14:textId="34703DE7" w:rsidR="009153AC" w:rsidRPr="004D731C" w:rsidRDefault="009153AC" w:rsidP="009153AC">
      <w:pPr>
        <w:spacing w:after="15" w:line="247" w:lineRule="auto"/>
        <w:ind w:right="874"/>
        <w:rPr>
          <w:color w:val="000000" w:themeColor="text1"/>
        </w:rPr>
      </w:pPr>
      <w:proofErr w:type="gramStart"/>
      <w:r w:rsidRPr="004D731C">
        <w:rPr>
          <w:color w:val="000000" w:themeColor="text1"/>
        </w:rPr>
        <w:t>Date:_</w:t>
      </w:r>
      <w:proofErr w:type="gramEnd"/>
      <w:r w:rsidRPr="004D731C">
        <w:rPr>
          <w:color w:val="000000" w:themeColor="text1"/>
        </w:rPr>
        <w:t>___________________</w:t>
      </w:r>
      <w:r w:rsidR="004D731C" w:rsidRPr="004D731C">
        <w:rPr>
          <w:color w:val="000000" w:themeColor="text1"/>
        </w:rPr>
        <w:tab/>
      </w:r>
      <w:r w:rsidR="004D731C" w:rsidRPr="004D731C">
        <w:rPr>
          <w:color w:val="000000" w:themeColor="text1"/>
        </w:rPr>
        <w:tab/>
      </w:r>
      <w:r w:rsidR="004D731C" w:rsidRPr="004D731C">
        <w:rPr>
          <w:color w:val="000000" w:themeColor="text1"/>
        </w:rPr>
        <w:tab/>
      </w:r>
      <w:r w:rsidR="004D731C" w:rsidRPr="004D731C">
        <w:rPr>
          <w:color w:val="000000" w:themeColor="text1"/>
        </w:rPr>
        <w:tab/>
        <w:t xml:space="preserve">Date </w:t>
      </w:r>
      <w:r w:rsidR="004D731C" w:rsidRPr="004D731C">
        <w:rPr>
          <w:color w:val="000000" w:themeColor="text1"/>
        </w:rPr>
        <w:t>:____________________</w:t>
      </w:r>
    </w:p>
    <w:p w14:paraId="10AFB030" w14:textId="77777777" w:rsidR="009153AC" w:rsidRPr="004D731C" w:rsidRDefault="009153AC" w:rsidP="00B833F7">
      <w:pPr>
        <w:spacing w:after="15" w:line="247" w:lineRule="auto"/>
        <w:ind w:right="874"/>
        <w:rPr>
          <w:color w:val="000000" w:themeColor="text1"/>
        </w:rPr>
      </w:pPr>
    </w:p>
    <w:p w14:paraId="76953C07" w14:textId="77777777" w:rsidR="00476A97" w:rsidRDefault="00476A97" w:rsidP="00F32B16">
      <w:pPr>
        <w:spacing w:after="15" w:line="247" w:lineRule="auto"/>
        <w:ind w:right="874"/>
      </w:pPr>
    </w:p>
    <w:sectPr w:rsidR="00476A97" w:rsidSect="00193510">
      <w:footerReference w:type="even" r:id="rId11"/>
      <w:footerReference w:type="default" r:id="rId12"/>
      <w:footerReference w:type="first" r:id="rId13"/>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C296" w14:textId="77777777" w:rsidR="00193510" w:rsidRDefault="00193510">
      <w:pPr>
        <w:spacing w:after="0" w:line="240" w:lineRule="auto"/>
      </w:pPr>
      <w:r>
        <w:separator/>
      </w:r>
    </w:p>
  </w:endnote>
  <w:endnote w:type="continuationSeparator" w:id="0">
    <w:p w14:paraId="21C8A4C1" w14:textId="77777777" w:rsidR="00193510" w:rsidRDefault="0019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4B1F" w14:textId="77777777" w:rsidR="007C4ACD" w:rsidRDefault="00B833F7">
    <w:pPr>
      <w:spacing w:after="0"/>
      <w:ind w:right="835"/>
      <w:jc w:val="right"/>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4E5C" w14:textId="77777777" w:rsidR="007C4ACD" w:rsidRDefault="00B833F7" w:rsidP="00393C31">
    <w:pPr>
      <w:spacing w:after="0"/>
      <w:ind w:right="835"/>
      <w:jc w:val="center"/>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046546"/>
      <w:docPartObj>
        <w:docPartGallery w:val="Page Numbers (Bottom of Page)"/>
        <w:docPartUnique/>
      </w:docPartObj>
    </w:sdtPr>
    <w:sdtEndPr>
      <w:rPr>
        <w:noProof/>
      </w:rPr>
    </w:sdtEndPr>
    <w:sdtContent>
      <w:p w14:paraId="6696C22D" w14:textId="55843323" w:rsidR="00390745" w:rsidRDefault="003907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94A14D" w14:textId="77777777" w:rsidR="00393C31" w:rsidRDefault="00393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A65D" w14:textId="77777777" w:rsidR="00193510" w:rsidRDefault="00193510">
      <w:pPr>
        <w:spacing w:after="0" w:line="240" w:lineRule="auto"/>
      </w:pPr>
      <w:r>
        <w:separator/>
      </w:r>
    </w:p>
  </w:footnote>
  <w:footnote w:type="continuationSeparator" w:id="0">
    <w:p w14:paraId="57C2399B" w14:textId="77777777" w:rsidR="00193510" w:rsidRDefault="00193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5pt;height:.65pt;visibility:visible;mso-wrap-style:square" o:bullet="t">
        <v:imagedata r:id="rId1" o:title=""/>
      </v:shape>
    </w:pict>
  </w:numPicBullet>
  <w:abstractNum w:abstractNumId="0" w15:restartNumberingAfterBreak="0">
    <w:nsid w:val="0B5E34EC"/>
    <w:multiLevelType w:val="hybridMultilevel"/>
    <w:tmpl w:val="10AC0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2C7073"/>
    <w:multiLevelType w:val="hybridMultilevel"/>
    <w:tmpl w:val="3A88FC48"/>
    <w:lvl w:ilvl="0" w:tplc="DD34C3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64887"/>
    <w:multiLevelType w:val="hybridMultilevel"/>
    <w:tmpl w:val="3B208AE8"/>
    <w:lvl w:ilvl="0" w:tplc="88360294">
      <w:start w:val="1"/>
      <w:numFmt w:val="bullet"/>
      <w:lvlText w:val=""/>
      <w:lvlPicBulletId w:val="0"/>
      <w:lvlJc w:val="left"/>
      <w:pPr>
        <w:tabs>
          <w:tab w:val="num" w:pos="720"/>
        </w:tabs>
        <w:ind w:left="720" w:hanging="360"/>
      </w:pPr>
      <w:rPr>
        <w:rFonts w:ascii="Symbol" w:hAnsi="Symbol" w:hint="default"/>
      </w:rPr>
    </w:lvl>
    <w:lvl w:ilvl="1" w:tplc="401E3828" w:tentative="1">
      <w:start w:val="1"/>
      <w:numFmt w:val="bullet"/>
      <w:lvlText w:val=""/>
      <w:lvlJc w:val="left"/>
      <w:pPr>
        <w:tabs>
          <w:tab w:val="num" w:pos="1440"/>
        </w:tabs>
        <w:ind w:left="1440" w:hanging="360"/>
      </w:pPr>
      <w:rPr>
        <w:rFonts w:ascii="Symbol" w:hAnsi="Symbol" w:hint="default"/>
      </w:rPr>
    </w:lvl>
    <w:lvl w:ilvl="2" w:tplc="CCF6B056" w:tentative="1">
      <w:start w:val="1"/>
      <w:numFmt w:val="bullet"/>
      <w:lvlText w:val=""/>
      <w:lvlJc w:val="left"/>
      <w:pPr>
        <w:tabs>
          <w:tab w:val="num" w:pos="2160"/>
        </w:tabs>
        <w:ind w:left="2160" w:hanging="360"/>
      </w:pPr>
      <w:rPr>
        <w:rFonts w:ascii="Symbol" w:hAnsi="Symbol" w:hint="default"/>
      </w:rPr>
    </w:lvl>
    <w:lvl w:ilvl="3" w:tplc="771E2C74" w:tentative="1">
      <w:start w:val="1"/>
      <w:numFmt w:val="bullet"/>
      <w:lvlText w:val=""/>
      <w:lvlJc w:val="left"/>
      <w:pPr>
        <w:tabs>
          <w:tab w:val="num" w:pos="2880"/>
        </w:tabs>
        <w:ind w:left="2880" w:hanging="360"/>
      </w:pPr>
      <w:rPr>
        <w:rFonts w:ascii="Symbol" w:hAnsi="Symbol" w:hint="default"/>
      </w:rPr>
    </w:lvl>
    <w:lvl w:ilvl="4" w:tplc="C7768CB4" w:tentative="1">
      <w:start w:val="1"/>
      <w:numFmt w:val="bullet"/>
      <w:lvlText w:val=""/>
      <w:lvlJc w:val="left"/>
      <w:pPr>
        <w:tabs>
          <w:tab w:val="num" w:pos="3600"/>
        </w:tabs>
        <w:ind w:left="3600" w:hanging="360"/>
      </w:pPr>
      <w:rPr>
        <w:rFonts w:ascii="Symbol" w:hAnsi="Symbol" w:hint="default"/>
      </w:rPr>
    </w:lvl>
    <w:lvl w:ilvl="5" w:tplc="5A3C0E56" w:tentative="1">
      <w:start w:val="1"/>
      <w:numFmt w:val="bullet"/>
      <w:lvlText w:val=""/>
      <w:lvlJc w:val="left"/>
      <w:pPr>
        <w:tabs>
          <w:tab w:val="num" w:pos="4320"/>
        </w:tabs>
        <w:ind w:left="4320" w:hanging="360"/>
      </w:pPr>
      <w:rPr>
        <w:rFonts w:ascii="Symbol" w:hAnsi="Symbol" w:hint="default"/>
      </w:rPr>
    </w:lvl>
    <w:lvl w:ilvl="6" w:tplc="442A537C" w:tentative="1">
      <w:start w:val="1"/>
      <w:numFmt w:val="bullet"/>
      <w:lvlText w:val=""/>
      <w:lvlJc w:val="left"/>
      <w:pPr>
        <w:tabs>
          <w:tab w:val="num" w:pos="5040"/>
        </w:tabs>
        <w:ind w:left="5040" w:hanging="360"/>
      </w:pPr>
      <w:rPr>
        <w:rFonts w:ascii="Symbol" w:hAnsi="Symbol" w:hint="default"/>
      </w:rPr>
    </w:lvl>
    <w:lvl w:ilvl="7" w:tplc="2E304998" w:tentative="1">
      <w:start w:val="1"/>
      <w:numFmt w:val="bullet"/>
      <w:lvlText w:val=""/>
      <w:lvlJc w:val="left"/>
      <w:pPr>
        <w:tabs>
          <w:tab w:val="num" w:pos="5760"/>
        </w:tabs>
        <w:ind w:left="5760" w:hanging="360"/>
      </w:pPr>
      <w:rPr>
        <w:rFonts w:ascii="Symbol" w:hAnsi="Symbol" w:hint="default"/>
      </w:rPr>
    </w:lvl>
    <w:lvl w:ilvl="8" w:tplc="B9C4155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00159D"/>
    <w:multiLevelType w:val="hybridMultilevel"/>
    <w:tmpl w:val="CFF6B08E"/>
    <w:lvl w:ilvl="0" w:tplc="C9CAC3A6">
      <w:start w:val="1"/>
      <w:numFmt w:val="upperLetter"/>
      <w:lvlText w:val="%1)"/>
      <w:lvlJc w:val="left"/>
      <w:pPr>
        <w:ind w:left="1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443B02">
      <w:start w:val="1"/>
      <w:numFmt w:val="lowerLetter"/>
      <w:lvlText w:val="%2"/>
      <w:lvlJc w:val="left"/>
      <w:pPr>
        <w:ind w:left="1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666DDA">
      <w:start w:val="1"/>
      <w:numFmt w:val="lowerRoman"/>
      <w:lvlText w:val="%3"/>
      <w:lvlJc w:val="left"/>
      <w:pPr>
        <w:ind w:left="2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CEE74C">
      <w:start w:val="1"/>
      <w:numFmt w:val="decimal"/>
      <w:lvlText w:val="%4"/>
      <w:lvlJc w:val="left"/>
      <w:pPr>
        <w:ind w:left="2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06F288">
      <w:start w:val="1"/>
      <w:numFmt w:val="lowerLetter"/>
      <w:lvlText w:val="%5"/>
      <w:lvlJc w:val="left"/>
      <w:pPr>
        <w:ind w:left="3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3AFFBA">
      <w:start w:val="1"/>
      <w:numFmt w:val="lowerRoman"/>
      <w:lvlText w:val="%6"/>
      <w:lvlJc w:val="left"/>
      <w:pPr>
        <w:ind w:left="4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1E9C8A">
      <w:start w:val="1"/>
      <w:numFmt w:val="decimal"/>
      <w:lvlText w:val="%7"/>
      <w:lvlJc w:val="left"/>
      <w:pPr>
        <w:ind w:left="5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1EADEC">
      <w:start w:val="1"/>
      <w:numFmt w:val="lowerLetter"/>
      <w:lvlText w:val="%8"/>
      <w:lvlJc w:val="left"/>
      <w:pPr>
        <w:ind w:left="5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F061A6">
      <w:start w:val="1"/>
      <w:numFmt w:val="lowerRoman"/>
      <w:lvlText w:val="%9"/>
      <w:lvlJc w:val="left"/>
      <w:pPr>
        <w:ind w:left="6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BC2307"/>
    <w:multiLevelType w:val="hybridMultilevel"/>
    <w:tmpl w:val="D40E95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2C23FE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C61A4E"/>
    <w:multiLevelType w:val="hybridMultilevel"/>
    <w:tmpl w:val="D0B0A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D2931"/>
    <w:multiLevelType w:val="hybridMultilevel"/>
    <w:tmpl w:val="F1B43776"/>
    <w:lvl w:ilvl="0" w:tplc="0756CF66">
      <w:start w:val="1"/>
      <w:numFmt w:val="upperLetter"/>
      <w:lvlText w:val="%1)"/>
      <w:lvlJc w:val="left"/>
      <w:pPr>
        <w:ind w:left="1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A80E2E">
      <w:start w:val="1"/>
      <w:numFmt w:val="lowerLetter"/>
      <w:lvlText w:val="%2"/>
      <w:lvlJc w:val="left"/>
      <w:pPr>
        <w:ind w:left="1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5C0B2A">
      <w:start w:val="1"/>
      <w:numFmt w:val="lowerRoman"/>
      <w:lvlText w:val="%3"/>
      <w:lvlJc w:val="left"/>
      <w:pPr>
        <w:ind w:left="2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303888">
      <w:start w:val="1"/>
      <w:numFmt w:val="decimal"/>
      <w:lvlText w:val="%4"/>
      <w:lvlJc w:val="left"/>
      <w:pPr>
        <w:ind w:left="2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BAE078">
      <w:start w:val="1"/>
      <w:numFmt w:val="lowerLetter"/>
      <w:lvlText w:val="%5"/>
      <w:lvlJc w:val="left"/>
      <w:pPr>
        <w:ind w:left="3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369052">
      <w:start w:val="1"/>
      <w:numFmt w:val="lowerRoman"/>
      <w:lvlText w:val="%6"/>
      <w:lvlJc w:val="left"/>
      <w:pPr>
        <w:ind w:left="4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F0956C">
      <w:start w:val="1"/>
      <w:numFmt w:val="decimal"/>
      <w:lvlText w:val="%7"/>
      <w:lvlJc w:val="left"/>
      <w:pPr>
        <w:ind w:left="5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F67B22">
      <w:start w:val="1"/>
      <w:numFmt w:val="lowerLetter"/>
      <w:lvlText w:val="%8"/>
      <w:lvlJc w:val="left"/>
      <w:pPr>
        <w:ind w:left="5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9025D6">
      <w:start w:val="1"/>
      <w:numFmt w:val="lowerRoman"/>
      <w:lvlText w:val="%9"/>
      <w:lvlJc w:val="left"/>
      <w:pPr>
        <w:ind w:left="6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85565508">
    <w:abstractNumId w:val="3"/>
  </w:num>
  <w:num w:numId="2" w16cid:durableId="839123121">
    <w:abstractNumId w:val="6"/>
  </w:num>
  <w:num w:numId="3" w16cid:durableId="1345130321">
    <w:abstractNumId w:val="2"/>
  </w:num>
  <w:num w:numId="4" w16cid:durableId="1139110558">
    <w:abstractNumId w:val="1"/>
  </w:num>
  <w:num w:numId="5" w16cid:durableId="1740710096">
    <w:abstractNumId w:val="0"/>
  </w:num>
  <w:num w:numId="6" w16cid:durableId="1977447655">
    <w:abstractNumId w:val="4"/>
  </w:num>
  <w:num w:numId="7" w16cid:durableId="1960838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CD"/>
    <w:rsid w:val="000144E9"/>
    <w:rsid w:val="0001697C"/>
    <w:rsid w:val="00021861"/>
    <w:rsid w:val="00034781"/>
    <w:rsid w:val="00044EE1"/>
    <w:rsid w:val="000B2895"/>
    <w:rsid w:val="000D58C9"/>
    <w:rsid w:val="000E73D6"/>
    <w:rsid w:val="001105EB"/>
    <w:rsid w:val="00114DA1"/>
    <w:rsid w:val="00115521"/>
    <w:rsid w:val="00127D27"/>
    <w:rsid w:val="001324D4"/>
    <w:rsid w:val="001410F9"/>
    <w:rsid w:val="00144E46"/>
    <w:rsid w:val="0015651D"/>
    <w:rsid w:val="00160BF5"/>
    <w:rsid w:val="00160EB8"/>
    <w:rsid w:val="00172DD7"/>
    <w:rsid w:val="001766F8"/>
    <w:rsid w:val="00180D03"/>
    <w:rsid w:val="00183891"/>
    <w:rsid w:val="00193510"/>
    <w:rsid w:val="001954E2"/>
    <w:rsid w:val="001A06D2"/>
    <w:rsid w:val="001A0D71"/>
    <w:rsid w:val="001A2986"/>
    <w:rsid w:val="001B714F"/>
    <w:rsid w:val="001C4A35"/>
    <w:rsid w:val="001D7D2D"/>
    <w:rsid w:val="001E19C6"/>
    <w:rsid w:val="001E3362"/>
    <w:rsid w:val="001F0C31"/>
    <w:rsid w:val="001F60CF"/>
    <w:rsid w:val="00203001"/>
    <w:rsid w:val="002121CA"/>
    <w:rsid w:val="0021580D"/>
    <w:rsid w:val="00232B14"/>
    <w:rsid w:val="0023559C"/>
    <w:rsid w:val="002409A0"/>
    <w:rsid w:val="00251B79"/>
    <w:rsid w:val="00255876"/>
    <w:rsid w:val="0026433B"/>
    <w:rsid w:val="002737BD"/>
    <w:rsid w:val="00276A48"/>
    <w:rsid w:val="00287587"/>
    <w:rsid w:val="002B5AC8"/>
    <w:rsid w:val="002D03FF"/>
    <w:rsid w:val="002D3BB8"/>
    <w:rsid w:val="002D62DD"/>
    <w:rsid w:val="003379BB"/>
    <w:rsid w:val="00350362"/>
    <w:rsid w:val="00350957"/>
    <w:rsid w:val="00360082"/>
    <w:rsid w:val="003607FC"/>
    <w:rsid w:val="00360FDA"/>
    <w:rsid w:val="003624EF"/>
    <w:rsid w:val="00376B13"/>
    <w:rsid w:val="003826D9"/>
    <w:rsid w:val="00390745"/>
    <w:rsid w:val="00393C31"/>
    <w:rsid w:val="003A3214"/>
    <w:rsid w:val="003A4551"/>
    <w:rsid w:val="003A4D93"/>
    <w:rsid w:val="003B4746"/>
    <w:rsid w:val="003D2C57"/>
    <w:rsid w:val="003D4E13"/>
    <w:rsid w:val="003E14C3"/>
    <w:rsid w:val="003F1227"/>
    <w:rsid w:val="003F55B2"/>
    <w:rsid w:val="003F5A2C"/>
    <w:rsid w:val="00410E19"/>
    <w:rsid w:val="00413507"/>
    <w:rsid w:val="00416C6A"/>
    <w:rsid w:val="00416FEF"/>
    <w:rsid w:val="0041741E"/>
    <w:rsid w:val="00425276"/>
    <w:rsid w:val="00433858"/>
    <w:rsid w:val="00434773"/>
    <w:rsid w:val="004378A5"/>
    <w:rsid w:val="0045542A"/>
    <w:rsid w:val="00464A4A"/>
    <w:rsid w:val="00473D8E"/>
    <w:rsid w:val="0047442F"/>
    <w:rsid w:val="00474A75"/>
    <w:rsid w:val="00476A97"/>
    <w:rsid w:val="00492B17"/>
    <w:rsid w:val="004A27A5"/>
    <w:rsid w:val="004A31C3"/>
    <w:rsid w:val="004C2D31"/>
    <w:rsid w:val="004D25BB"/>
    <w:rsid w:val="004D42AF"/>
    <w:rsid w:val="004D731C"/>
    <w:rsid w:val="004E017E"/>
    <w:rsid w:val="0050547C"/>
    <w:rsid w:val="00511154"/>
    <w:rsid w:val="0052216E"/>
    <w:rsid w:val="005343C2"/>
    <w:rsid w:val="005348B7"/>
    <w:rsid w:val="005777A1"/>
    <w:rsid w:val="00585BD8"/>
    <w:rsid w:val="005A4C0E"/>
    <w:rsid w:val="005A7FD8"/>
    <w:rsid w:val="005C6959"/>
    <w:rsid w:val="005E3276"/>
    <w:rsid w:val="005E41BB"/>
    <w:rsid w:val="005F21DC"/>
    <w:rsid w:val="005F349C"/>
    <w:rsid w:val="005F7483"/>
    <w:rsid w:val="00604457"/>
    <w:rsid w:val="00607884"/>
    <w:rsid w:val="0061014E"/>
    <w:rsid w:val="0062139F"/>
    <w:rsid w:val="0062641C"/>
    <w:rsid w:val="00633CB0"/>
    <w:rsid w:val="00650960"/>
    <w:rsid w:val="006518DF"/>
    <w:rsid w:val="006555AB"/>
    <w:rsid w:val="006704AE"/>
    <w:rsid w:val="00677222"/>
    <w:rsid w:val="00691F4F"/>
    <w:rsid w:val="00691F66"/>
    <w:rsid w:val="006A769E"/>
    <w:rsid w:val="006B0422"/>
    <w:rsid w:val="006B3318"/>
    <w:rsid w:val="006D5D49"/>
    <w:rsid w:val="0070299B"/>
    <w:rsid w:val="00703F42"/>
    <w:rsid w:val="007103E9"/>
    <w:rsid w:val="00714B60"/>
    <w:rsid w:val="00727AA2"/>
    <w:rsid w:val="007300B7"/>
    <w:rsid w:val="007408AB"/>
    <w:rsid w:val="0074481B"/>
    <w:rsid w:val="00745023"/>
    <w:rsid w:val="00751CAD"/>
    <w:rsid w:val="007627FC"/>
    <w:rsid w:val="0076623F"/>
    <w:rsid w:val="007854D7"/>
    <w:rsid w:val="00785EFF"/>
    <w:rsid w:val="007906B9"/>
    <w:rsid w:val="00790781"/>
    <w:rsid w:val="007961C5"/>
    <w:rsid w:val="0079729C"/>
    <w:rsid w:val="007A0BA7"/>
    <w:rsid w:val="007A1962"/>
    <w:rsid w:val="007B6965"/>
    <w:rsid w:val="007C4ACD"/>
    <w:rsid w:val="007C6251"/>
    <w:rsid w:val="007E20E1"/>
    <w:rsid w:val="007E5532"/>
    <w:rsid w:val="007E7F80"/>
    <w:rsid w:val="00810355"/>
    <w:rsid w:val="00821D09"/>
    <w:rsid w:val="0083778F"/>
    <w:rsid w:val="00837A05"/>
    <w:rsid w:val="008804FC"/>
    <w:rsid w:val="00881C67"/>
    <w:rsid w:val="00881D39"/>
    <w:rsid w:val="0088347F"/>
    <w:rsid w:val="00884B05"/>
    <w:rsid w:val="008947E8"/>
    <w:rsid w:val="00896381"/>
    <w:rsid w:val="008B044F"/>
    <w:rsid w:val="008D7B54"/>
    <w:rsid w:val="00901638"/>
    <w:rsid w:val="00904F65"/>
    <w:rsid w:val="009079B8"/>
    <w:rsid w:val="00913CB4"/>
    <w:rsid w:val="009153AC"/>
    <w:rsid w:val="00920527"/>
    <w:rsid w:val="00926956"/>
    <w:rsid w:val="00933CD0"/>
    <w:rsid w:val="00947D06"/>
    <w:rsid w:val="0097738E"/>
    <w:rsid w:val="0098128C"/>
    <w:rsid w:val="00993B7A"/>
    <w:rsid w:val="009B092D"/>
    <w:rsid w:val="009B42BA"/>
    <w:rsid w:val="009C0BB6"/>
    <w:rsid w:val="009C19C1"/>
    <w:rsid w:val="009C23B5"/>
    <w:rsid w:val="009C3FC3"/>
    <w:rsid w:val="009D1C24"/>
    <w:rsid w:val="009D2460"/>
    <w:rsid w:val="009D3001"/>
    <w:rsid w:val="009E235E"/>
    <w:rsid w:val="009E5893"/>
    <w:rsid w:val="009F7293"/>
    <w:rsid w:val="00A22E06"/>
    <w:rsid w:val="00A338D3"/>
    <w:rsid w:val="00A34074"/>
    <w:rsid w:val="00A34888"/>
    <w:rsid w:val="00A3668A"/>
    <w:rsid w:val="00A418DF"/>
    <w:rsid w:val="00A420E3"/>
    <w:rsid w:val="00A505E5"/>
    <w:rsid w:val="00A520CD"/>
    <w:rsid w:val="00A54639"/>
    <w:rsid w:val="00A65B6C"/>
    <w:rsid w:val="00A6746B"/>
    <w:rsid w:val="00A71385"/>
    <w:rsid w:val="00A7232C"/>
    <w:rsid w:val="00A74742"/>
    <w:rsid w:val="00A806E8"/>
    <w:rsid w:val="00A82745"/>
    <w:rsid w:val="00A82863"/>
    <w:rsid w:val="00A86634"/>
    <w:rsid w:val="00A86D20"/>
    <w:rsid w:val="00AA42F0"/>
    <w:rsid w:val="00AC5BC5"/>
    <w:rsid w:val="00AC6A6C"/>
    <w:rsid w:val="00AD1CC2"/>
    <w:rsid w:val="00AE4917"/>
    <w:rsid w:val="00AE4BB3"/>
    <w:rsid w:val="00AE59A3"/>
    <w:rsid w:val="00AE7D27"/>
    <w:rsid w:val="00AF11B8"/>
    <w:rsid w:val="00AF5652"/>
    <w:rsid w:val="00B02969"/>
    <w:rsid w:val="00B0608D"/>
    <w:rsid w:val="00B102DA"/>
    <w:rsid w:val="00B10BD8"/>
    <w:rsid w:val="00B169BD"/>
    <w:rsid w:val="00B201B3"/>
    <w:rsid w:val="00B264F0"/>
    <w:rsid w:val="00B311A6"/>
    <w:rsid w:val="00B32274"/>
    <w:rsid w:val="00B374FB"/>
    <w:rsid w:val="00B613AF"/>
    <w:rsid w:val="00B71377"/>
    <w:rsid w:val="00B833F7"/>
    <w:rsid w:val="00BA08C1"/>
    <w:rsid w:val="00BB68C3"/>
    <w:rsid w:val="00BD0A48"/>
    <w:rsid w:val="00BD1F01"/>
    <w:rsid w:val="00BE1F56"/>
    <w:rsid w:val="00BF0C20"/>
    <w:rsid w:val="00BF1772"/>
    <w:rsid w:val="00C15E48"/>
    <w:rsid w:val="00C169AC"/>
    <w:rsid w:val="00C17584"/>
    <w:rsid w:val="00C17693"/>
    <w:rsid w:val="00C25652"/>
    <w:rsid w:val="00C30C99"/>
    <w:rsid w:val="00C37AFF"/>
    <w:rsid w:val="00C53A98"/>
    <w:rsid w:val="00C5791D"/>
    <w:rsid w:val="00C600F2"/>
    <w:rsid w:val="00C6771F"/>
    <w:rsid w:val="00C77A16"/>
    <w:rsid w:val="00CA368B"/>
    <w:rsid w:val="00CA6194"/>
    <w:rsid w:val="00CB4E6E"/>
    <w:rsid w:val="00CC1D76"/>
    <w:rsid w:val="00CD26EA"/>
    <w:rsid w:val="00CE037D"/>
    <w:rsid w:val="00CE3C1E"/>
    <w:rsid w:val="00CF6A07"/>
    <w:rsid w:val="00D0445B"/>
    <w:rsid w:val="00D10C8F"/>
    <w:rsid w:val="00D200F5"/>
    <w:rsid w:val="00D44F1A"/>
    <w:rsid w:val="00D85012"/>
    <w:rsid w:val="00D850B0"/>
    <w:rsid w:val="00DB572A"/>
    <w:rsid w:val="00DC7B2E"/>
    <w:rsid w:val="00DE2104"/>
    <w:rsid w:val="00DF15D7"/>
    <w:rsid w:val="00E00094"/>
    <w:rsid w:val="00E055F5"/>
    <w:rsid w:val="00E229D7"/>
    <w:rsid w:val="00E3216E"/>
    <w:rsid w:val="00E4336E"/>
    <w:rsid w:val="00E45027"/>
    <w:rsid w:val="00E470BA"/>
    <w:rsid w:val="00E47579"/>
    <w:rsid w:val="00E60026"/>
    <w:rsid w:val="00E61D2D"/>
    <w:rsid w:val="00E8193E"/>
    <w:rsid w:val="00E85C57"/>
    <w:rsid w:val="00E90699"/>
    <w:rsid w:val="00ED2C9A"/>
    <w:rsid w:val="00EF6159"/>
    <w:rsid w:val="00F05751"/>
    <w:rsid w:val="00F229CE"/>
    <w:rsid w:val="00F22BF0"/>
    <w:rsid w:val="00F25D5D"/>
    <w:rsid w:val="00F32843"/>
    <w:rsid w:val="00F32B16"/>
    <w:rsid w:val="00F36BDB"/>
    <w:rsid w:val="00F4688D"/>
    <w:rsid w:val="00F7309B"/>
    <w:rsid w:val="00F77FA7"/>
    <w:rsid w:val="00F86989"/>
    <w:rsid w:val="00F92AE6"/>
    <w:rsid w:val="00FA0B70"/>
    <w:rsid w:val="00FB0F3B"/>
    <w:rsid w:val="00FB4462"/>
    <w:rsid w:val="00FB5F8C"/>
    <w:rsid w:val="00FC2E0C"/>
    <w:rsid w:val="00FD41FB"/>
    <w:rsid w:val="00FE1E82"/>
    <w:rsid w:val="00FE49E6"/>
    <w:rsid w:val="00FE4A9D"/>
    <w:rsid w:val="00FF24E5"/>
    <w:rsid w:val="00FF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E6D0"/>
  <w15:docId w15:val="{C53F02B0-E2D6-4E33-9B2C-C95D0042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30"/>
      <w:ind w:left="1229" w:hanging="10"/>
      <w:jc w:val="center"/>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224"/>
      <w:ind w:left="855"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character" w:customStyle="1" w:styleId="Heading2Char">
    <w:name w:val="Heading 2 Char"/>
    <w:link w:val="Heading2"/>
    <w:rPr>
      <w:rFonts w:ascii="Calibri" w:eastAsia="Calibri" w:hAnsi="Calibri" w:cs="Calibri"/>
      <w:color w:val="000000"/>
      <w:sz w:val="22"/>
      <w:u w:val="single" w:color="000000"/>
    </w:rPr>
  </w:style>
  <w:style w:type="paragraph" w:styleId="ListParagraph">
    <w:name w:val="List Paragraph"/>
    <w:basedOn w:val="Normal"/>
    <w:uiPriority w:val="34"/>
    <w:qFormat/>
    <w:rsid w:val="001D7D2D"/>
    <w:pPr>
      <w:ind w:left="720"/>
      <w:contextualSpacing/>
    </w:pPr>
  </w:style>
  <w:style w:type="paragraph" w:styleId="Header">
    <w:name w:val="header"/>
    <w:basedOn w:val="Normal"/>
    <w:link w:val="HeaderChar"/>
    <w:uiPriority w:val="99"/>
    <w:unhideWhenUsed/>
    <w:rsid w:val="00393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31"/>
    <w:rPr>
      <w:rFonts w:ascii="Calibri" w:eastAsia="Calibri" w:hAnsi="Calibri" w:cs="Calibri"/>
      <w:color w:val="000000"/>
    </w:rPr>
  </w:style>
  <w:style w:type="paragraph" w:styleId="Footer">
    <w:name w:val="footer"/>
    <w:basedOn w:val="Normal"/>
    <w:link w:val="FooterChar"/>
    <w:uiPriority w:val="99"/>
    <w:unhideWhenUsed/>
    <w:rsid w:val="00393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31"/>
    <w:rPr>
      <w:rFonts w:ascii="Calibri" w:eastAsia="Calibri" w:hAnsi="Calibri" w:cs="Calibri"/>
      <w:color w:val="000000"/>
    </w:rPr>
  </w:style>
  <w:style w:type="paragraph" w:styleId="Revision">
    <w:name w:val="Revision"/>
    <w:hidden/>
    <w:uiPriority w:val="99"/>
    <w:semiHidden/>
    <w:rsid w:val="0088347F"/>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F92AE6"/>
    <w:rPr>
      <w:sz w:val="16"/>
      <w:szCs w:val="16"/>
    </w:rPr>
  </w:style>
  <w:style w:type="paragraph" w:styleId="CommentText">
    <w:name w:val="annotation text"/>
    <w:basedOn w:val="Normal"/>
    <w:link w:val="CommentTextChar"/>
    <w:uiPriority w:val="99"/>
    <w:unhideWhenUsed/>
    <w:rsid w:val="00F92AE6"/>
    <w:pPr>
      <w:spacing w:line="240" w:lineRule="auto"/>
    </w:pPr>
    <w:rPr>
      <w:sz w:val="20"/>
      <w:szCs w:val="20"/>
    </w:rPr>
  </w:style>
  <w:style w:type="character" w:customStyle="1" w:styleId="CommentTextChar">
    <w:name w:val="Comment Text Char"/>
    <w:basedOn w:val="DefaultParagraphFont"/>
    <w:link w:val="CommentText"/>
    <w:uiPriority w:val="99"/>
    <w:rsid w:val="00F92AE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92AE6"/>
    <w:rPr>
      <w:b/>
      <w:bCs/>
    </w:rPr>
  </w:style>
  <w:style w:type="character" w:customStyle="1" w:styleId="CommentSubjectChar">
    <w:name w:val="Comment Subject Char"/>
    <w:basedOn w:val="CommentTextChar"/>
    <w:link w:val="CommentSubject"/>
    <w:uiPriority w:val="99"/>
    <w:semiHidden/>
    <w:rsid w:val="00F92AE6"/>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d1768c6c-d4f9-4982-b18f-ac5b6f48c2f5"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3A805D396507419C6ADBFAECF1DE24" ma:contentTypeVersion="17" ma:contentTypeDescription="Create a new document." ma:contentTypeScope="" ma:versionID="696ae4fdbef156b82900cae3c59793ae">
  <xsd:schema xmlns:xsd="http://www.w3.org/2001/XMLSchema" xmlns:xs="http://www.w3.org/2001/XMLSchema" xmlns:p="http://schemas.microsoft.com/office/2006/metadata/properties" xmlns:ns1="http://schemas.microsoft.com/sharepoint/v3" xmlns:ns3="d1768c6c-d4f9-4982-b18f-ac5b6f48c2f5" xmlns:ns4="ea25b103-8835-4d82-b974-1aebfcc7fe19" targetNamespace="http://schemas.microsoft.com/office/2006/metadata/properties" ma:root="true" ma:fieldsID="2637af8b29f3030194bfd5ca1b45082f" ns1:_="" ns3:_="" ns4:_="">
    <xsd:import namespace="http://schemas.microsoft.com/sharepoint/v3"/>
    <xsd:import namespace="d1768c6c-d4f9-4982-b18f-ac5b6f48c2f5"/>
    <xsd:import namespace="ea25b103-8835-4d82-b974-1aebfcc7fe1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68c6c-d4f9-4982-b18f-ac5b6f48c2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5b103-8835-4d82-b974-1aebfcc7fe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2F73D-AB7D-4FAD-9196-C82E1E722601}">
  <ds:schemaRefs>
    <ds:schemaRef ds:uri="http://schemas.microsoft.com/office/2006/metadata/properties"/>
    <ds:schemaRef ds:uri="http://schemas.microsoft.com/office/infopath/2007/PartnerControls"/>
    <ds:schemaRef ds:uri="http://schemas.microsoft.com/sharepoint/v3"/>
    <ds:schemaRef ds:uri="d1768c6c-d4f9-4982-b18f-ac5b6f48c2f5"/>
  </ds:schemaRefs>
</ds:datastoreItem>
</file>

<file path=customXml/itemProps2.xml><?xml version="1.0" encoding="utf-8"?>
<ds:datastoreItem xmlns:ds="http://schemas.openxmlformats.org/officeDocument/2006/customXml" ds:itemID="{CBF190CA-4429-42C8-8A4C-C8C025D2B014}">
  <ds:schemaRefs>
    <ds:schemaRef ds:uri="http://schemas.microsoft.com/sharepoint/v3/contenttype/forms"/>
  </ds:schemaRefs>
</ds:datastoreItem>
</file>

<file path=customXml/itemProps3.xml><?xml version="1.0" encoding="utf-8"?>
<ds:datastoreItem xmlns:ds="http://schemas.openxmlformats.org/officeDocument/2006/customXml" ds:itemID="{FB0EE358-7AA7-4264-B7BA-2BEB4C01C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768c6c-d4f9-4982-b18f-ac5b6f48c2f5"/>
    <ds:schemaRef ds:uri="ea25b103-8835-4d82-b974-1aebfcc7f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Gulfstream Aerospace Corporation</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Neely, Jay</dc:creator>
  <cp:keywords/>
  <cp:lastModifiedBy>Bates Lovett</cp:lastModifiedBy>
  <cp:revision>4</cp:revision>
  <dcterms:created xsi:type="dcterms:W3CDTF">2024-02-01T17:58:00Z</dcterms:created>
  <dcterms:modified xsi:type="dcterms:W3CDTF">2024-02-05T18:51:00Z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0x0101003E3A805D396507419C6ADBFAECF1DE24</vt:lpwstr>
  </property>
</Properties>
</file>