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B5CF" w14:textId="77777777" w:rsidR="002546F3" w:rsidRDefault="002546F3" w:rsidP="00C40C0B">
      <w:pPr>
        <w:widowControl w:val="0"/>
        <w:tabs>
          <w:tab w:val="right" w:pos="10800"/>
        </w:tabs>
      </w:pPr>
      <w:bookmarkStart w:id="0" w:name="QuickMark_1"/>
      <w:bookmarkEnd w:id="0"/>
    </w:p>
    <w:p w14:paraId="29DA8CEF" w14:textId="77777777" w:rsidR="002546F3" w:rsidRDefault="002546F3" w:rsidP="00C40C0B">
      <w:pPr>
        <w:widowControl w:val="0"/>
        <w:tabs>
          <w:tab w:val="right" w:pos="10800"/>
        </w:tabs>
      </w:pPr>
    </w:p>
    <w:p w14:paraId="405D7248" w14:textId="77777777" w:rsidR="002546F3" w:rsidRDefault="002546F3" w:rsidP="00C40C0B">
      <w:pPr>
        <w:widowControl w:val="0"/>
        <w:tabs>
          <w:tab w:val="right" w:pos="10800"/>
        </w:tabs>
      </w:pPr>
    </w:p>
    <w:p w14:paraId="5BF61C9B" w14:textId="77777777" w:rsidR="002546F3" w:rsidRDefault="002546F3" w:rsidP="00C40C0B">
      <w:pPr>
        <w:widowControl w:val="0"/>
        <w:tabs>
          <w:tab w:val="right" w:pos="10800"/>
        </w:tabs>
      </w:pPr>
    </w:p>
    <w:p w14:paraId="0BB44818" w14:textId="77777777" w:rsidR="00C40C0B" w:rsidRDefault="00B5592D" w:rsidP="00C40C0B">
      <w:pPr>
        <w:widowControl w:val="0"/>
        <w:tabs>
          <w:tab w:val="right" w:pos="10800"/>
        </w:tabs>
      </w:pPr>
      <w:r>
        <w:rPr>
          <w:noProof/>
        </w:rPr>
        <w:drawing>
          <wp:inline distT="0" distB="0" distL="0" distR="0" wp14:anchorId="3B3EDA4F" wp14:editId="7549D32D">
            <wp:extent cx="2238375" cy="905510"/>
            <wp:effectExtent l="0" t="0" r="9525" b="8890"/>
            <wp:docPr id="1" name="Picture 1" descr="BWimpr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imprint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905510"/>
                    </a:xfrm>
                    <a:prstGeom prst="rect">
                      <a:avLst/>
                    </a:prstGeom>
                    <a:noFill/>
                    <a:ln>
                      <a:noFill/>
                    </a:ln>
                  </pic:spPr>
                </pic:pic>
              </a:graphicData>
            </a:graphic>
          </wp:inline>
        </w:drawing>
      </w:r>
    </w:p>
    <w:p w14:paraId="1E3E75C5" w14:textId="6F51664F" w:rsidR="00095529" w:rsidRDefault="00095529" w:rsidP="00283AC5">
      <w:pPr>
        <w:widowControl w:val="0"/>
        <w:tabs>
          <w:tab w:val="right" w:pos="10800"/>
        </w:tabs>
        <w:jc w:val="center"/>
        <w:rPr>
          <w:sz w:val="22"/>
        </w:rPr>
      </w:pPr>
      <w:r>
        <w:fldChar w:fldCharType="begin"/>
      </w:r>
      <w:r>
        <w:instrText xml:space="preserve"> SEQ CHAPTER \h \r 1</w:instrText>
      </w:r>
      <w:r>
        <w:fldChar w:fldCharType="end"/>
      </w:r>
      <w:r>
        <w:rPr>
          <w:sz w:val="22"/>
        </w:rPr>
        <w:t>___________________________________________________________________________________________</w:t>
      </w:r>
    </w:p>
    <w:p w14:paraId="5D38D11E" w14:textId="77777777" w:rsidR="00095529" w:rsidRPr="00386185" w:rsidRDefault="00BB794A" w:rsidP="00386185">
      <w:pPr>
        <w:widowControl w:val="0"/>
        <w:tabs>
          <w:tab w:val="right" w:pos="10800"/>
        </w:tabs>
        <w:jc w:val="right"/>
        <w:rPr>
          <w:sz w:val="16"/>
          <w:szCs w:val="16"/>
        </w:rPr>
      </w:pPr>
      <w:bookmarkStart w:id="1" w:name="8"/>
      <w:bookmarkEnd w:id="1"/>
      <w:r>
        <w:rPr>
          <w:sz w:val="16"/>
          <w:szCs w:val="16"/>
        </w:rPr>
        <w:t>20-01638</w:t>
      </w:r>
    </w:p>
    <w:p w14:paraId="67BB61D5" w14:textId="77777777" w:rsidR="00095529" w:rsidRPr="005B4CB3" w:rsidRDefault="00095529" w:rsidP="00386185">
      <w:pPr>
        <w:widowControl w:val="0"/>
        <w:jc w:val="both"/>
        <w:rPr>
          <w:sz w:val="22"/>
          <w:szCs w:val="22"/>
        </w:rPr>
      </w:pPr>
      <w:r w:rsidRPr="005B4CB3">
        <w:rPr>
          <w:sz w:val="22"/>
          <w:szCs w:val="22"/>
        </w:rPr>
        <w:t>STATE OF GEORGIA</w:t>
      </w:r>
      <w:r w:rsidRPr="005B4CB3">
        <w:rPr>
          <w:sz w:val="22"/>
          <w:szCs w:val="22"/>
        </w:rPr>
        <w:tab/>
      </w:r>
      <w:r w:rsidR="00386185" w:rsidRPr="005B4CB3">
        <w:rPr>
          <w:sz w:val="22"/>
          <w:szCs w:val="22"/>
        </w:rPr>
        <w:tab/>
      </w:r>
      <w:r w:rsidR="00386185" w:rsidRPr="005B4CB3">
        <w:rPr>
          <w:sz w:val="22"/>
          <w:szCs w:val="22"/>
        </w:rPr>
        <w:tab/>
      </w:r>
      <w:r w:rsidRPr="005B4CB3">
        <w:rPr>
          <w:sz w:val="22"/>
          <w:szCs w:val="22"/>
        </w:rPr>
        <w:t>)</w:t>
      </w:r>
    </w:p>
    <w:p w14:paraId="1AA524D6" w14:textId="77777777" w:rsidR="00095529" w:rsidRPr="005B4CB3" w:rsidRDefault="00095529" w:rsidP="00283AC5">
      <w:pPr>
        <w:widowControl w:val="0"/>
        <w:jc w:val="both"/>
        <w:rPr>
          <w:sz w:val="22"/>
          <w:szCs w:val="22"/>
        </w:rPr>
      </w:pPr>
      <w:r w:rsidRPr="005B4CB3">
        <w:rPr>
          <w:sz w:val="22"/>
          <w:szCs w:val="22"/>
        </w:rPr>
        <w:tab/>
      </w:r>
      <w:r w:rsidRPr="005B4CB3">
        <w:rPr>
          <w:sz w:val="22"/>
          <w:szCs w:val="22"/>
        </w:rPr>
        <w:tab/>
      </w:r>
      <w:r w:rsidRPr="005B4CB3">
        <w:rPr>
          <w:sz w:val="22"/>
          <w:szCs w:val="22"/>
        </w:rPr>
        <w:tab/>
      </w:r>
      <w:r w:rsidRPr="005B4CB3">
        <w:rPr>
          <w:sz w:val="22"/>
          <w:szCs w:val="22"/>
        </w:rPr>
        <w:tab/>
      </w:r>
      <w:r w:rsidRPr="005B4CB3">
        <w:rPr>
          <w:sz w:val="22"/>
          <w:szCs w:val="22"/>
        </w:rPr>
        <w:tab/>
        <w:t>)</w:t>
      </w:r>
      <w:r w:rsidRPr="005B4CB3">
        <w:rPr>
          <w:sz w:val="22"/>
          <w:szCs w:val="22"/>
        </w:rPr>
        <w:tab/>
      </w:r>
      <w:r w:rsidR="00D443E1">
        <w:rPr>
          <w:b/>
          <w:sz w:val="22"/>
          <w:szCs w:val="22"/>
        </w:rPr>
        <w:t>A C C E S S   E</w:t>
      </w:r>
      <w:r w:rsidR="00BB794A" w:rsidRPr="005B4CB3">
        <w:rPr>
          <w:b/>
          <w:sz w:val="22"/>
          <w:szCs w:val="22"/>
        </w:rPr>
        <w:t xml:space="preserve"> A S E M E N T</w:t>
      </w:r>
      <w:r w:rsidR="00D443E1">
        <w:rPr>
          <w:b/>
          <w:sz w:val="22"/>
          <w:szCs w:val="22"/>
        </w:rPr>
        <w:t xml:space="preserve">   A G R E E M E N T </w:t>
      </w:r>
    </w:p>
    <w:p w14:paraId="4C82F444" w14:textId="77777777" w:rsidR="00095529" w:rsidRPr="005B4CB3" w:rsidRDefault="00095529" w:rsidP="00283AC5">
      <w:pPr>
        <w:widowControl w:val="0"/>
        <w:ind w:left="3600" w:hanging="3600"/>
        <w:jc w:val="both"/>
        <w:rPr>
          <w:sz w:val="22"/>
          <w:szCs w:val="22"/>
        </w:rPr>
      </w:pPr>
      <w:r w:rsidRPr="005B4CB3">
        <w:rPr>
          <w:sz w:val="22"/>
          <w:szCs w:val="22"/>
        </w:rPr>
        <w:t>COUNTY OF CHATHAM</w:t>
      </w:r>
      <w:r w:rsidRPr="005B4CB3">
        <w:rPr>
          <w:sz w:val="22"/>
          <w:szCs w:val="22"/>
        </w:rPr>
        <w:tab/>
        <w:t>)</w:t>
      </w:r>
    </w:p>
    <w:p w14:paraId="56E1BC54" w14:textId="77777777" w:rsidR="00095529" w:rsidRPr="005B4CB3" w:rsidRDefault="00095529" w:rsidP="00283AC5">
      <w:pPr>
        <w:widowControl w:val="0"/>
        <w:jc w:val="both"/>
        <w:rPr>
          <w:sz w:val="22"/>
          <w:szCs w:val="22"/>
        </w:rPr>
      </w:pPr>
    </w:p>
    <w:p w14:paraId="2D02C460" w14:textId="77777777" w:rsidR="00D443E1" w:rsidRDefault="00095529" w:rsidP="00D443E1">
      <w:pPr>
        <w:autoSpaceDE w:val="0"/>
        <w:autoSpaceDN w:val="0"/>
        <w:adjustRightInd w:val="0"/>
        <w:jc w:val="both"/>
        <w:rPr>
          <w:sz w:val="22"/>
          <w:szCs w:val="22"/>
        </w:rPr>
      </w:pPr>
      <w:r w:rsidRPr="005B4CB3">
        <w:rPr>
          <w:sz w:val="22"/>
          <w:szCs w:val="22"/>
        </w:rPr>
        <w:tab/>
      </w:r>
      <w:r w:rsidR="00D443E1" w:rsidRPr="00D443E1">
        <w:rPr>
          <w:sz w:val="22"/>
          <w:szCs w:val="22"/>
        </w:rPr>
        <w:t xml:space="preserve">This Access Easement Agreement (this "Agreement") is made </w:t>
      </w:r>
      <w:r w:rsidR="00D443E1">
        <w:rPr>
          <w:sz w:val="22"/>
          <w:szCs w:val="22"/>
        </w:rPr>
        <w:t xml:space="preserve">this </w:t>
      </w:r>
      <w:r w:rsidR="00D443E1" w:rsidRPr="00D443E1">
        <w:rPr>
          <w:sz w:val="22"/>
          <w:szCs w:val="22"/>
        </w:rPr>
        <w:t xml:space="preserve">_______ day of </w:t>
      </w:r>
      <w:r w:rsidR="00D443E1">
        <w:rPr>
          <w:sz w:val="22"/>
          <w:szCs w:val="22"/>
        </w:rPr>
        <w:t>_____________, 2022</w:t>
      </w:r>
      <w:r w:rsidR="00D443E1" w:rsidRPr="00D443E1">
        <w:rPr>
          <w:sz w:val="22"/>
          <w:szCs w:val="22"/>
        </w:rPr>
        <w:t>, by</w:t>
      </w:r>
      <w:r w:rsidR="00357DF5">
        <w:rPr>
          <w:sz w:val="22"/>
          <w:szCs w:val="22"/>
        </w:rPr>
        <w:t xml:space="preserve"> and</w:t>
      </w:r>
      <w:r w:rsidR="00D443E1" w:rsidRPr="00D443E1">
        <w:rPr>
          <w:sz w:val="22"/>
          <w:szCs w:val="22"/>
        </w:rPr>
        <w:t xml:space="preserve"> between </w:t>
      </w:r>
      <w:r w:rsidR="00357DF5">
        <w:rPr>
          <w:b/>
          <w:color w:val="161616"/>
          <w:sz w:val="22"/>
          <w:szCs w:val="22"/>
        </w:rPr>
        <w:t>TH</w:t>
      </w:r>
      <w:r w:rsidR="00D443E1" w:rsidRPr="005B4CB3">
        <w:rPr>
          <w:b/>
          <w:color w:val="161616"/>
          <w:sz w:val="22"/>
          <w:szCs w:val="22"/>
        </w:rPr>
        <w:t>E MAYOR AND ALDERMEN OF THE CITY OF SAVANNAH</w:t>
      </w:r>
      <w:r w:rsidR="00D443E1" w:rsidRPr="005B4CB3">
        <w:rPr>
          <w:color w:val="161616"/>
          <w:sz w:val="22"/>
          <w:szCs w:val="22"/>
        </w:rPr>
        <w:t xml:space="preserve">, a municipal </w:t>
      </w:r>
      <w:r w:rsidR="00D443E1">
        <w:rPr>
          <w:color w:val="161616"/>
          <w:sz w:val="22"/>
          <w:szCs w:val="22"/>
        </w:rPr>
        <w:t>c</w:t>
      </w:r>
      <w:r w:rsidR="00D443E1" w:rsidRPr="005B4CB3">
        <w:rPr>
          <w:color w:val="161616"/>
          <w:sz w:val="22"/>
          <w:szCs w:val="22"/>
        </w:rPr>
        <w:t>orporation organized and existing under the laws of the State of</w:t>
      </w:r>
      <w:r w:rsidR="00D443E1">
        <w:rPr>
          <w:color w:val="161616"/>
          <w:sz w:val="22"/>
          <w:szCs w:val="22"/>
        </w:rPr>
        <w:t xml:space="preserve"> </w:t>
      </w:r>
      <w:r w:rsidR="00D443E1" w:rsidRPr="005B4CB3">
        <w:rPr>
          <w:color w:val="161616"/>
          <w:sz w:val="22"/>
          <w:szCs w:val="22"/>
        </w:rPr>
        <w:t>Georgia</w:t>
      </w:r>
      <w:r w:rsidR="00D443E1">
        <w:rPr>
          <w:color w:val="161616"/>
          <w:sz w:val="22"/>
          <w:szCs w:val="22"/>
        </w:rPr>
        <w:t>, as Grantor (“the City</w:t>
      </w:r>
      <w:r w:rsidR="00D443E1">
        <w:rPr>
          <w:sz w:val="22"/>
          <w:szCs w:val="22"/>
        </w:rPr>
        <w:t xml:space="preserve">”) </w:t>
      </w:r>
      <w:r w:rsidR="00D443E1" w:rsidRPr="00D443E1">
        <w:rPr>
          <w:sz w:val="22"/>
          <w:szCs w:val="22"/>
        </w:rPr>
        <w:t xml:space="preserve">and </w:t>
      </w:r>
      <w:r w:rsidR="00D443E1" w:rsidRPr="005B4CB3">
        <w:rPr>
          <w:b/>
          <w:color w:val="161616"/>
          <w:sz w:val="22"/>
          <w:szCs w:val="22"/>
        </w:rPr>
        <w:t>JOSEPH FRANKLIN MONROE</w:t>
      </w:r>
      <w:r w:rsidR="00D443E1" w:rsidRPr="00D443E1">
        <w:rPr>
          <w:sz w:val="22"/>
          <w:szCs w:val="22"/>
        </w:rPr>
        <w:t xml:space="preserve">, </w:t>
      </w:r>
      <w:r w:rsidR="00D443E1">
        <w:rPr>
          <w:sz w:val="22"/>
          <w:szCs w:val="22"/>
        </w:rPr>
        <w:t xml:space="preserve">as Grantee </w:t>
      </w:r>
      <w:r w:rsidR="00D443E1" w:rsidRPr="00D443E1">
        <w:rPr>
          <w:sz w:val="22"/>
          <w:szCs w:val="22"/>
        </w:rPr>
        <w:t>(hereinafter,</w:t>
      </w:r>
      <w:r w:rsidR="00D443E1">
        <w:rPr>
          <w:sz w:val="22"/>
          <w:szCs w:val="22"/>
        </w:rPr>
        <w:t xml:space="preserve"> </w:t>
      </w:r>
      <w:r w:rsidR="00D443E1" w:rsidRPr="00D443E1">
        <w:rPr>
          <w:sz w:val="22"/>
          <w:szCs w:val="22"/>
        </w:rPr>
        <w:t>“</w:t>
      </w:r>
      <w:r w:rsidR="00D443E1">
        <w:rPr>
          <w:sz w:val="22"/>
          <w:szCs w:val="22"/>
        </w:rPr>
        <w:t>Monroe</w:t>
      </w:r>
      <w:r w:rsidR="00D443E1" w:rsidRPr="00D443E1">
        <w:rPr>
          <w:sz w:val="22"/>
          <w:szCs w:val="22"/>
        </w:rPr>
        <w:t xml:space="preserve">”) </w:t>
      </w:r>
      <w:r w:rsidR="00714148" w:rsidRPr="00714148">
        <w:rPr>
          <w:sz w:val="22"/>
          <w:szCs w:val="22"/>
        </w:rPr>
        <w:t>(Grantor and Grantee, and their respective successors and assigns with respect to their respective rights and obligations under this Agreement are hereinafter sometimes referred to individually as a “Party,” and collectively as the “Parties”)</w:t>
      </w:r>
    </w:p>
    <w:p w14:paraId="5E3452E4" w14:textId="77777777" w:rsidR="00357DF5" w:rsidRDefault="00357DF5" w:rsidP="00D443E1">
      <w:pPr>
        <w:autoSpaceDE w:val="0"/>
        <w:autoSpaceDN w:val="0"/>
        <w:adjustRightInd w:val="0"/>
        <w:jc w:val="both"/>
        <w:rPr>
          <w:sz w:val="22"/>
          <w:szCs w:val="22"/>
        </w:rPr>
      </w:pPr>
    </w:p>
    <w:p w14:paraId="185CE1A0" w14:textId="77777777" w:rsidR="00357DF5" w:rsidRPr="00357DF5" w:rsidRDefault="00357DF5" w:rsidP="00357DF5">
      <w:pPr>
        <w:autoSpaceDE w:val="0"/>
        <w:autoSpaceDN w:val="0"/>
        <w:adjustRightInd w:val="0"/>
        <w:jc w:val="center"/>
        <w:rPr>
          <w:b/>
          <w:sz w:val="22"/>
          <w:szCs w:val="22"/>
        </w:rPr>
      </w:pPr>
      <w:r w:rsidRPr="00357DF5">
        <w:rPr>
          <w:b/>
          <w:sz w:val="22"/>
          <w:szCs w:val="22"/>
        </w:rPr>
        <w:t xml:space="preserve">W I T N E S </w:t>
      </w:r>
      <w:proofErr w:type="spellStart"/>
      <w:r w:rsidRPr="00357DF5">
        <w:rPr>
          <w:b/>
          <w:sz w:val="22"/>
          <w:szCs w:val="22"/>
        </w:rPr>
        <w:t>S</w:t>
      </w:r>
      <w:proofErr w:type="spellEnd"/>
      <w:r w:rsidRPr="00357DF5">
        <w:rPr>
          <w:b/>
          <w:sz w:val="22"/>
          <w:szCs w:val="22"/>
        </w:rPr>
        <w:t xml:space="preserve"> E T H</w:t>
      </w:r>
    </w:p>
    <w:p w14:paraId="3E488713" w14:textId="77777777" w:rsidR="00D443E1" w:rsidRPr="00D443E1" w:rsidRDefault="00D443E1" w:rsidP="00D443E1">
      <w:pPr>
        <w:autoSpaceDE w:val="0"/>
        <w:autoSpaceDN w:val="0"/>
        <w:adjustRightInd w:val="0"/>
        <w:jc w:val="both"/>
        <w:rPr>
          <w:sz w:val="22"/>
          <w:szCs w:val="22"/>
        </w:rPr>
      </w:pPr>
    </w:p>
    <w:p w14:paraId="7F72B678" w14:textId="5DE86B01" w:rsidR="00D443E1" w:rsidRPr="00D443E1" w:rsidRDefault="00D443E1" w:rsidP="00D443E1">
      <w:pPr>
        <w:autoSpaceDE w:val="0"/>
        <w:autoSpaceDN w:val="0"/>
        <w:adjustRightInd w:val="0"/>
        <w:jc w:val="both"/>
        <w:rPr>
          <w:sz w:val="22"/>
          <w:szCs w:val="22"/>
        </w:rPr>
      </w:pPr>
      <w:r w:rsidRPr="00D443E1">
        <w:rPr>
          <w:sz w:val="22"/>
          <w:szCs w:val="22"/>
        </w:rPr>
        <w:tab/>
      </w:r>
      <w:r w:rsidR="000605F8" w:rsidRPr="0073510B">
        <w:rPr>
          <w:b/>
          <w:sz w:val="22"/>
          <w:szCs w:val="22"/>
        </w:rPr>
        <w:t>WHEREAS</w:t>
      </w:r>
      <w:r w:rsidRPr="00D443E1">
        <w:rPr>
          <w:sz w:val="22"/>
          <w:szCs w:val="22"/>
        </w:rPr>
        <w:t xml:space="preserve"> </w:t>
      </w:r>
      <w:r>
        <w:rPr>
          <w:sz w:val="22"/>
          <w:szCs w:val="22"/>
        </w:rPr>
        <w:t xml:space="preserve">the City </w:t>
      </w:r>
      <w:r w:rsidRPr="00D443E1">
        <w:rPr>
          <w:sz w:val="22"/>
          <w:szCs w:val="22"/>
        </w:rPr>
        <w:t xml:space="preserve">is the owner </w:t>
      </w:r>
      <w:r>
        <w:rPr>
          <w:sz w:val="22"/>
          <w:szCs w:val="22"/>
        </w:rPr>
        <w:t xml:space="preserve">of </w:t>
      </w:r>
      <w:r w:rsidRPr="00D443E1">
        <w:rPr>
          <w:sz w:val="22"/>
          <w:szCs w:val="22"/>
        </w:rPr>
        <w:t xml:space="preserve">that </w:t>
      </w:r>
      <w:r w:rsidR="0073510B">
        <w:rPr>
          <w:sz w:val="22"/>
          <w:szCs w:val="22"/>
        </w:rPr>
        <w:t xml:space="preserve">certain </w:t>
      </w:r>
      <w:r w:rsidRPr="00D443E1">
        <w:rPr>
          <w:sz w:val="22"/>
          <w:szCs w:val="22"/>
        </w:rPr>
        <w:t xml:space="preserve">tract or parcel of land located in Chatham County, Georgia, </w:t>
      </w:r>
      <w:r w:rsidR="0073510B">
        <w:rPr>
          <w:sz w:val="22"/>
          <w:szCs w:val="22"/>
        </w:rPr>
        <w:t xml:space="preserve">commonly known as the Savannah and Ogeechee Canal, </w:t>
      </w:r>
      <w:r w:rsidRPr="00D443E1">
        <w:rPr>
          <w:sz w:val="22"/>
          <w:szCs w:val="22"/>
        </w:rPr>
        <w:t>being more particularly described in Exhibit "A" attached hereto and by this reference made a part hereof (the “</w:t>
      </w:r>
      <w:r>
        <w:rPr>
          <w:sz w:val="22"/>
          <w:szCs w:val="22"/>
        </w:rPr>
        <w:t>Canal</w:t>
      </w:r>
      <w:r w:rsidRPr="00D443E1">
        <w:rPr>
          <w:sz w:val="22"/>
          <w:szCs w:val="22"/>
        </w:rPr>
        <w:t xml:space="preserve"> Property”); and</w:t>
      </w:r>
    </w:p>
    <w:p w14:paraId="6ECF203D" w14:textId="77777777" w:rsidR="00D443E1" w:rsidRPr="00D443E1" w:rsidRDefault="00D443E1" w:rsidP="00D443E1">
      <w:pPr>
        <w:autoSpaceDE w:val="0"/>
        <w:autoSpaceDN w:val="0"/>
        <w:adjustRightInd w:val="0"/>
        <w:jc w:val="both"/>
        <w:rPr>
          <w:sz w:val="22"/>
          <w:szCs w:val="22"/>
        </w:rPr>
      </w:pPr>
    </w:p>
    <w:p w14:paraId="1B14ADBD" w14:textId="06B583A2" w:rsidR="00D443E1" w:rsidRPr="00D443E1" w:rsidRDefault="00D443E1" w:rsidP="00D443E1">
      <w:pPr>
        <w:autoSpaceDE w:val="0"/>
        <w:autoSpaceDN w:val="0"/>
        <w:adjustRightInd w:val="0"/>
        <w:jc w:val="both"/>
        <w:rPr>
          <w:sz w:val="22"/>
          <w:szCs w:val="22"/>
        </w:rPr>
      </w:pPr>
      <w:r w:rsidRPr="00D443E1">
        <w:rPr>
          <w:sz w:val="22"/>
          <w:szCs w:val="22"/>
        </w:rPr>
        <w:tab/>
      </w:r>
      <w:r w:rsidR="000605F8" w:rsidRPr="0073510B">
        <w:rPr>
          <w:b/>
          <w:sz w:val="22"/>
          <w:szCs w:val="22"/>
        </w:rPr>
        <w:t>WHEREAS</w:t>
      </w:r>
      <w:r w:rsidRPr="00D443E1">
        <w:rPr>
          <w:sz w:val="22"/>
          <w:szCs w:val="22"/>
        </w:rPr>
        <w:t xml:space="preserve"> </w:t>
      </w:r>
      <w:r>
        <w:rPr>
          <w:sz w:val="22"/>
          <w:szCs w:val="22"/>
        </w:rPr>
        <w:t>Monroe</w:t>
      </w:r>
      <w:r w:rsidRPr="00D443E1">
        <w:rPr>
          <w:sz w:val="22"/>
          <w:szCs w:val="22"/>
        </w:rPr>
        <w:t xml:space="preserve"> is the owner of that </w:t>
      </w:r>
      <w:r w:rsidR="0073510B">
        <w:rPr>
          <w:sz w:val="22"/>
          <w:szCs w:val="22"/>
        </w:rPr>
        <w:t xml:space="preserve">certain </w:t>
      </w:r>
      <w:r w:rsidRPr="00D443E1">
        <w:rPr>
          <w:sz w:val="22"/>
          <w:szCs w:val="22"/>
        </w:rPr>
        <w:t xml:space="preserve">tract or parcel of land adjacent to the </w:t>
      </w:r>
      <w:r w:rsidR="0073510B">
        <w:rPr>
          <w:sz w:val="22"/>
          <w:szCs w:val="22"/>
        </w:rPr>
        <w:t>Canal</w:t>
      </w:r>
      <w:r w:rsidRPr="00D443E1">
        <w:rPr>
          <w:sz w:val="22"/>
          <w:szCs w:val="22"/>
        </w:rPr>
        <w:t xml:space="preserve"> Property, being more particularly described in Exhibit "B" and by this reference made a part hereof (the "</w:t>
      </w:r>
      <w:r w:rsidR="0073510B">
        <w:rPr>
          <w:sz w:val="22"/>
          <w:szCs w:val="22"/>
        </w:rPr>
        <w:t>Monroe</w:t>
      </w:r>
      <w:r w:rsidRPr="00D443E1">
        <w:rPr>
          <w:sz w:val="22"/>
          <w:szCs w:val="22"/>
        </w:rPr>
        <w:t xml:space="preserve"> Property"); and</w:t>
      </w:r>
    </w:p>
    <w:p w14:paraId="0359DC98" w14:textId="77777777" w:rsidR="00D443E1" w:rsidRPr="00D443E1" w:rsidRDefault="00D443E1" w:rsidP="00D443E1">
      <w:pPr>
        <w:autoSpaceDE w:val="0"/>
        <w:autoSpaceDN w:val="0"/>
        <w:adjustRightInd w:val="0"/>
        <w:jc w:val="both"/>
        <w:rPr>
          <w:sz w:val="22"/>
          <w:szCs w:val="22"/>
        </w:rPr>
      </w:pPr>
    </w:p>
    <w:p w14:paraId="297057C9" w14:textId="76A2E369" w:rsidR="0073510B" w:rsidRDefault="00D443E1" w:rsidP="00D443E1">
      <w:pPr>
        <w:autoSpaceDE w:val="0"/>
        <w:autoSpaceDN w:val="0"/>
        <w:adjustRightInd w:val="0"/>
        <w:jc w:val="both"/>
        <w:rPr>
          <w:sz w:val="22"/>
          <w:szCs w:val="22"/>
        </w:rPr>
      </w:pPr>
      <w:r w:rsidRPr="00D443E1">
        <w:rPr>
          <w:sz w:val="22"/>
          <w:szCs w:val="22"/>
        </w:rPr>
        <w:tab/>
      </w:r>
      <w:r w:rsidR="000605F8" w:rsidRPr="0073510B">
        <w:rPr>
          <w:b/>
          <w:sz w:val="22"/>
          <w:szCs w:val="22"/>
        </w:rPr>
        <w:t>WHEREAS</w:t>
      </w:r>
      <w:r w:rsidRPr="00D443E1">
        <w:rPr>
          <w:sz w:val="22"/>
          <w:szCs w:val="22"/>
        </w:rPr>
        <w:t xml:space="preserve"> there currently exists a driveway which runs through </w:t>
      </w:r>
      <w:r w:rsidR="0073510B">
        <w:rPr>
          <w:sz w:val="22"/>
          <w:szCs w:val="22"/>
        </w:rPr>
        <w:t xml:space="preserve">a portion of </w:t>
      </w:r>
      <w:r w:rsidRPr="00D443E1">
        <w:rPr>
          <w:sz w:val="22"/>
          <w:szCs w:val="22"/>
        </w:rPr>
        <w:t xml:space="preserve">the </w:t>
      </w:r>
      <w:r w:rsidR="0073510B">
        <w:rPr>
          <w:sz w:val="22"/>
          <w:szCs w:val="22"/>
        </w:rPr>
        <w:t>Canal Property</w:t>
      </w:r>
      <w:r w:rsidRPr="00D443E1">
        <w:rPr>
          <w:sz w:val="22"/>
          <w:szCs w:val="22"/>
        </w:rPr>
        <w:t xml:space="preserve"> from</w:t>
      </w:r>
      <w:r w:rsidR="0073510B">
        <w:rPr>
          <w:sz w:val="22"/>
          <w:szCs w:val="22"/>
        </w:rPr>
        <w:t xml:space="preserve"> Little Neck Road</w:t>
      </w:r>
      <w:r w:rsidRPr="00D443E1">
        <w:rPr>
          <w:sz w:val="22"/>
          <w:szCs w:val="22"/>
        </w:rPr>
        <w:t xml:space="preserve"> to the </w:t>
      </w:r>
      <w:r w:rsidR="0073510B">
        <w:rPr>
          <w:sz w:val="22"/>
          <w:szCs w:val="22"/>
        </w:rPr>
        <w:t xml:space="preserve">Monroe </w:t>
      </w:r>
      <w:r w:rsidRPr="00D443E1">
        <w:rPr>
          <w:sz w:val="22"/>
          <w:szCs w:val="22"/>
        </w:rPr>
        <w:t>Property</w:t>
      </w:r>
      <w:r w:rsidR="00CA650E">
        <w:rPr>
          <w:sz w:val="22"/>
          <w:szCs w:val="22"/>
        </w:rPr>
        <w:t xml:space="preserve"> as shown and depicted on a </w:t>
      </w:r>
      <w:r w:rsidR="00DA2FA7">
        <w:rPr>
          <w:sz w:val="22"/>
          <w:szCs w:val="22"/>
        </w:rPr>
        <w:t>plat of said driveway attached hereto</w:t>
      </w:r>
      <w:r w:rsidR="00DA2FA7" w:rsidRPr="00DA2FA7">
        <w:rPr>
          <w:sz w:val="22"/>
          <w:szCs w:val="22"/>
        </w:rPr>
        <w:t xml:space="preserve"> </w:t>
      </w:r>
      <w:r w:rsidR="00DA2FA7">
        <w:rPr>
          <w:sz w:val="22"/>
          <w:szCs w:val="22"/>
        </w:rPr>
        <w:t xml:space="preserve">as Exhibit </w:t>
      </w:r>
      <w:r w:rsidR="00DA2FA7" w:rsidRPr="00D443E1">
        <w:rPr>
          <w:sz w:val="22"/>
          <w:szCs w:val="22"/>
        </w:rPr>
        <w:t>"</w:t>
      </w:r>
      <w:r w:rsidR="00DA2FA7">
        <w:rPr>
          <w:sz w:val="22"/>
          <w:szCs w:val="22"/>
        </w:rPr>
        <w:t>C</w:t>
      </w:r>
      <w:r w:rsidR="00DA2FA7" w:rsidRPr="00D443E1">
        <w:rPr>
          <w:sz w:val="22"/>
          <w:szCs w:val="22"/>
        </w:rPr>
        <w:t>"</w:t>
      </w:r>
      <w:r w:rsidR="00DA2FA7">
        <w:rPr>
          <w:sz w:val="22"/>
          <w:szCs w:val="22"/>
        </w:rPr>
        <w:t xml:space="preserve"> </w:t>
      </w:r>
      <w:r w:rsidR="00DA2FA7" w:rsidRPr="00D443E1">
        <w:rPr>
          <w:sz w:val="22"/>
          <w:szCs w:val="22"/>
        </w:rPr>
        <w:t>and by this reference made a part hereof</w:t>
      </w:r>
      <w:r w:rsidRPr="00D443E1">
        <w:rPr>
          <w:sz w:val="22"/>
          <w:szCs w:val="22"/>
        </w:rPr>
        <w:t xml:space="preserve">, which </w:t>
      </w:r>
      <w:r w:rsidR="00B80267">
        <w:rPr>
          <w:sz w:val="22"/>
          <w:szCs w:val="22"/>
        </w:rPr>
        <w:t>driveway</w:t>
      </w:r>
      <w:r w:rsidRPr="00D443E1">
        <w:rPr>
          <w:sz w:val="22"/>
          <w:szCs w:val="22"/>
        </w:rPr>
        <w:t xml:space="preserve"> serves as</w:t>
      </w:r>
      <w:r w:rsidR="00357DF5">
        <w:rPr>
          <w:sz w:val="22"/>
          <w:szCs w:val="22"/>
        </w:rPr>
        <w:t xml:space="preserve"> the sole</w:t>
      </w:r>
      <w:r w:rsidRPr="00D443E1">
        <w:rPr>
          <w:sz w:val="22"/>
          <w:szCs w:val="22"/>
        </w:rPr>
        <w:t xml:space="preserve"> access to and from the </w:t>
      </w:r>
      <w:r w:rsidR="0073510B">
        <w:rPr>
          <w:sz w:val="22"/>
          <w:szCs w:val="22"/>
        </w:rPr>
        <w:t>Monroe</w:t>
      </w:r>
      <w:r w:rsidRPr="00D443E1">
        <w:rPr>
          <w:sz w:val="22"/>
          <w:szCs w:val="22"/>
        </w:rPr>
        <w:t xml:space="preserve"> Property and </w:t>
      </w:r>
      <w:r w:rsidR="0073510B">
        <w:rPr>
          <w:sz w:val="22"/>
          <w:szCs w:val="22"/>
        </w:rPr>
        <w:t xml:space="preserve">Little Neck </w:t>
      </w:r>
      <w:r w:rsidRPr="00D443E1">
        <w:rPr>
          <w:sz w:val="22"/>
          <w:szCs w:val="22"/>
        </w:rPr>
        <w:t>Road</w:t>
      </w:r>
      <w:r w:rsidR="0073510B">
        <w:rPr>
          <w:sz w:val="22"/>
          <w:szCs w:val="22"/>
        </w:rPr>
        <w:t xml:space="preserve">; </w:t>
      </w:r>
      <w:r w:rsidRPr="00D443E1">
        <w:rPr>
          <w:sz w:val="22"/>
          <w:szCs w:val="22"/>
        </w:rPr>
        <w:t xml:space="preserve">and </w:t>
      </w:r>
    </w:p>
    <w:p w14:paraId="55E48612" w14:textId="77777777" w:rsidR="0073510B" w:rsidRDefault="0073510B" w:rsidP="00D443E1">
      <w:pPr>
        <w:autoSpaceDE w:val="0"/>
        <w:autoSpaceDN w:val="0"/>
        <w:adjustRightInd w:val="0"/>
        <w:jc w:val="both"/>
        <w:rPr>
          <w:sz w:val="22"/>
          <w:szCs w:val="22"/>
        </w:rPr>
      </w:pPr>
    </w:p>
    <w:p w14:paraId="3AF84864" w14:textId="78DC9659" w:rsidR="00D443E1" w:rsidRPr="00D443E1" w:rsidRDefault="000605F8" w:rsidP="0073510B">
      <w:pPr>
        <w:autoSpaceDE w:val="0"/>
        <w:autoSpaceDN w:val="0"/>
        <w:adjustRightInd w:val="0"/>
        <w:ind w:firstLine="720"/>
        <w:jc w:val="both"/>
        <w:rPr>
          <w:sz w:val="22"/>
          <w:szCs w:val="22"/>
        </w:rPr>
      </w:pPr>
      <w:r w:rsidRPr="0073510B">
        <w:rPr>
          <w:b/>
          <w:sz w:val="22"/>
          <w:szCs w:val="22"/>
        </w:rPr>
        <w:t>WHEREAS</w:t>
      </w:r>
      <w:r w:rsidR="0073510B">
        <w:rPr>
          <w:sz w:val="22"/>
          <w:szCs w:val="22"/>
        </w:rPr>
        <w:t xml:space="preserve"> Monroe has requested </w:t>
      </w:r>
      <w:r w:rsidR="00111FB2">
        <w:rPr>
          <w:sz w:val="22"/>
          <w:szCs w:val="22"/>
        </w:rPr>
        <w:t xml:space="preserve">that the City grant him </w:t>
      </w:r>
      <w:r w:rsidR="0073510B">
        <w:rPr>
          <w:sz w:val="22"/>
          <w:szCs w:val="22"/>
        </w:rPr>
        <w:t xml:space="preserve">a written agreement </w:t>
      </w:r>
      <w:r w:rsidR="00D443E1" w:rsidRPr="00D443E1">
        <w:rPr>
          <w:sz w:val="22"/>
          <w:szCs w:val="22"/>
        </w:rPr>
        <w:t>to create and establish the easements described below to facilitate and memorialize the same</w:t>
      </w:r>
      <w:r w:rsidR="00111FB2">
        <w:rPr>
          <w:sz w:val="22"/>
          <w:szCs w:val="22"/>
        </w:rPr>
        <w:t xml:space="preserve">, and the City has agreed to said </w:t>
      </w:r>
      <w:r>
        <w:rPr>
          <w:sz w:val="22"/>
          <w:szCs w:val="22"/>
        </w:rPr>
        <w:t>request</w:t>
      </w:r>
      <w:r w:rsidRPr="00D443E1">
        <w:rPr>
          <w:sz w:val="22"/>
          <w:szCs w:val="22"/>
        </w:rPr>
        <w:t>.</w:t>
      </w:r>
    </w:p>
    <w:p w14:paraId="61FDF4B9" w14:textId="77777777" w:rsidR="00D443E1" w:rsidRPr="00D443E1" w:rsidRDefault="00D443E1" w:rsidP="00D443E1">
      <w:pPr>
        <w:autoSpaceDE w:val="0"/>
        <w:autoSpaceDN w:val="0"/>
        <w:adjustRightInd w:val="0"/>
        <w:jc w:val="both"/>
        <w:rPr>
          <w:sz w:val="22"/>
          <w:szCs w:val="22"/>
        </w:rPr>
      </w:pPr>
    </w:p>
    <w:p w14:paraId="66A25996" w14:textId="4D3BCD91" w:rsidR="00357DF5" w:rsidRDefault="00D443E1" w:rsidP="0073510B">
      <w:pPr>
        <w:autoSpaceDE w:val="0"/>
        <w:autoSpaceDN w:val="0"/>
        <w:adjustRightInd w:val="0"/>
        <w:jc w:val="both"/>
        <w:rPr>
          <w:color w:val="161616"/>
          <w:sz w:val="22"/>
          <w:szCs w:val="22"/>
        </w:rPr>
      </w:pPr>
      <w:r w:rsidRPr="00D443E1">
        <w:rPr>
          <w:sz w:val="22"/>
          <w:szCs w:val="22"/>
        </w:rPr>
        <w:tab/>
      </w:r>
      <w:r w:rsidRPr="00111FB2">
        <w:rPr>
          <w:b/>
          <w:sz w:val="22"/>
          <w:szCs w:val="22"/>
        </w:rPr>
        <w:t>NOW THEREFORE</w:t>
      </w:r>
      <w:r w:rsidR="0073510B">
        <w:rPr>
          <w:sz w:val="22"/>
          <w:szCs w:val="22"/>
        </w:rPr>
        <w:t xml:space="preserve">, </w:t>
      </w:r>
      <w:r w:rsidR="00357DF5">
        <w:rPr>
          <w:sz w:val="22"/>
          <w:szCs w:val="22"/>
        </w:rPr>
        <w:t>the parties</w:t>
      </w:r>
      <w:r w:rsidR="00111FB2">
        <w:rPr>
          <w:sz w:val="22"/>
          <w:szCs w:val="22"/>
        </w:rPr>
        <w:t xml:space="preserve">, </w:t>
      </w:r>
      <w:r w:rsidR="0073510B">
        <w:rPr>
          <w:sz w:val="22"/>
          <w:szCs w:val="22"/>
        </w:rPr>
        <w:t xml:space="preserve">in consideration </w:t>
      </w:r>
      <w:r w:rsidR="00357DF5">
        <w:rPr>
          <w:sz w:val="22"/>
          <w:szCs w:val="22"/>
        </w:rPr>
        <w:t xml:space="preserve">of the premises and the mutual covenants contain herein, and in consideration of </w:t>
      </w:r>
      <w:r w:rsidR="00BB794A" w:rsidRPr="005B4CB3">
        <w:rPr>
          <w:color w:val="161616"/>
          <w:sz w:val="22"/>
          <w:szCs w:val="22"/>
        </w:rPr>
        <w:t xml:space="preserve">the sum of </w:t>
      </w:r>
      <w:r w:rsidR="005B4CB3" w:rsidRPr="0073510B">
        <w:rPr>
          <w:b/>
          <w:color w:val="161616"/>
          <w:sz w:val="22"/>
          <w:szCs w:val="22"/>
        </w:rPr>
        <w:t>ONE</w:t>
      </w:r>
      <w:r w:rsidR="00BB794A" w:rsidRPr="0073510B">
        <w:rPr>
          <w:b/>
          <w:color w:val="161616"/>
          <w:sz w:val="22"/>
          <w:szCs w:val="22"/>
        </w:rPr>
        <w:t xml:space="preserve"> ($1.00) </w:t>
      </w:r>
      <w:r w:rsidR="005B4CB3" w:rsidRPr="0073510B">
        <w:rPr>
          <w:b/>
          <w:color w:val="161616"/>
          <w:sz w:val="22"/>
          <w:szCs w:val="22"/>
        </w:rPr>
        <w:t>DOLLAR</w:t>
      </w:r>
      <w:r w:rsidR="00357DF5">
        <w:rPr>
          <w:b/>
          <w:color w:val="161616"/>
          <w:sz w:val="22"/>
          <w:szCs w:val="22"/>
        </w:rPr>
        <w:t xml:space="preserve"> </w:t>
      </w:r>
      <w:r w:rsidR="00357DF5" w:rsidRPr="005B4CB3">
        <w:rPr>
          <w:color w:val="161616"/>
          <w:sz w:val="22"/>
          <w:szCs w:val="22"/>
        </w:rPr>
        <w:t>and other good and valuable co</w:t>
      </w:r>
      <w:r w:rsidR="00357DF5">
        <w:rPr>
          <w:color w:val="161616"/>
          <w:sz w:val="22"/>
          <w:szCs w:val="22"/>
        </w:rPr>
        <w:t xml:space="preserve">nsideration the receipt and sufficiency of which is hereby acknowledged, </w:t>
      </w:r>
      <w:r w:rsidR="00BB794A" w:rsidRPr="005B4CB3">
        <w:rPr>
          <w:color w:val="161616"/>
          <w:sz w:val="22"/>
          <w:szCs w:val="22"/>
        </w:rPr>
        <w:t>in hand paid</w:t>
      </w:r>
      <w:r w:rsidR="00357DF5">
        <w:rPr>
          <w:color w:val="161616"/>
          <w:sz w:val="22"/>
          <w:szCs w:val="22"/>
        </w:rPr>
        <w:t xml:space="preserve"> by the Grantee to the Grantor</w:t>
      </w:r>
      <w:r w:rsidR="00BB794A" w:rsidRPr="005B4CB3">
        <w:rPr>
          <w:color w:val="161616"/>
          <w:sz w:val="22"/>
          <w:szCs w:val="22"/>
        </w:rPr>
        <w:t>,</w:t>
      </w:r>
      <w:r w:rsidR="00357DF5">
        <w:rPr>
          <w:color w:val="161616"/>
          <w:sz w:val="22"/>
          <w:szCs w:val="22"/>
        </w:rPr>
        <w:t xml:space="preserve"> the parties agree as follows: </w:t>
      </w:r>
    </w:p>
    <w:p w14:paraId="7D53BD69" w14:textId="77777777" w:rsidR="00111FB2" w:rsidRDefault="00357DF5" w:rsidP="0073510B">
      <w:pPr>
        <w:autoSpaceDE w:val="0"/>
        <w:autoSpaceDN w:val="0"/>
        <w:adjustRightInd w:val="0"/>
        <w:jc w:val="both"/>
        <w:rPr>
          <w:color w:val="161616"/>
          <w:sz w:val="22"/>
          <w:szCs w:val="22"/>
        </w:rPr>
      </w:pPr>
      <w:r>
        <w:rPr>
          <w:color w:val="161616"/>
          <w:sz w:val="22"/>
          <w:szCs w:val="22"/>
        </w:rPr>
        <w:t xml:space="preserve"> </w:t>
      </w:r>
    </w:p>
    <w:p w14:paraId="109650E5" w14:textId="724FBF13" w:rsidR="005B4CB3" w:rsidRDefault="00111FB2" w:rsidP="005C5699">
      <w:pPr>
        <w:pStyle w:val="ListParagraph"/>
        <w:numPr>
          <w:ilvl w:val="0"/>
          <w:numId w:val="1"/>
        </w:numPr>
        <w:autoSpaceDE w:val="0"/>
        <w:autoSpaceDN w:val="0"/>
        <w:adjustRightInd w:val="0"/>
        <w:jc w:val="both"/>
        <w:rPr>
          <w:color w:val="161616"/>
          <w:sz w:val="22"/>
          <w:szCs w:val="22"/>
        </w:rPr>
      </w:pPr>
      <w:r w:rsidRPr="00111FB2">
        <w:rPr>
          <w:color w:val="161616"/>
          <w:sz w:val="22"/>
          <w:szCs w:val="22"/>
          <w:u w:val="single"/>
        </w:rPr>
        <w:t xml:space="preserve">Access Easement for </w:t>
      </w:r>
      <w:r w:rsidR="00632A10">
        <w:rPr>
          <w:color w:val="161616"/>
          <w:sz w:val="22"/>
          <w:szCs w:val="22"/>
          <w:u w:val="single"/>
        </w:rPr>
        <w:t>Monroe</w:t>
      </w:r>
      <w:r w:rsidRPr="00111FB2">
        <w:rPr>
          <w:color w:val="161616"/>
          <w:sz w:val="22"/>
          <w:szCs w:val="22"/>
        </w:rPr>
        <w:t xml:space="preserve">.  As an appurtenance to the </w:t>
      </w:r>
      <w:r>
        <w:rPr>
          <w:color w:val="161616"/>
          <w:sz w:val="22"/>
          <w:szCs w:val="22"/>
        </w:rPr>
        <w:t>Monroe</w:t>
      </w:r>
      <w:r w:rsidRPr="00111FB2">
        <w:rPr>
          <w:color w:val="161616"/>
          <w:sz w:val="22"/>
          <w:szCs w:val="22"/>
        </w:rPr>
        <w:t xml:space="preserve"> Property, </w:t>
      </w:r>
      <w:r>
        <w:rPr>
          <w:color w:val="161616"/>
          <w:sz w:val="22"/>
          <w:szCs w:val="22"/>
        </w:rPr>
        <w:t>the City</w:t>
      </w:r>
      <w:r w:rsidRPr="00111FB2">
        <w:rPr>
          <w:color w:val="161616"/>
          <w:sz w:val="22"/>
          <w:szCs w:val="22"/>
        </w:rPr>
        <w:t xml:space="preserve"> hereby grants, conveys, declares, creates, imposes and establishes a perpetual, non-exclusive easement</w:t>
      </w:r>
      <w:r>
        <w:rPr>
          <w:color w:val="161616"/>
          <w:sz w:val="22"/>
          <w:szCs w:val="22"/>
        </w:rPr>
        <w:t xml:space="preserve">, </w:t>
      </w:r>
      <w:r w:rsidRPr="00111FB2">
        <w:rPr>
          <w:color w:val="161616"/>
          <w:sz w:val="22"/>
          <w:szCs w:val="22"/>
        </w:rPr>
        <w:t>twenty</w:t>
      </w:r>
      <w:r w:rsidR="00DA2FA7">
        <w:rPr>
          <w:color w:val="161616"/>
          <w:sz w:val="22"/>
          <w:szCs w:val="22"/>
        </w:rPr>
        <w:t>-five</w:t>
      </w:r>
      <w:r w:rsidRPr="00111FB2">
        <w:rPr>
          <w:color w:val="161616"/>
          <w:sz w:val="22"/>
          <w:szCs w:val="22"/>
        </w:rPr>
        <w:t xml:space="preserve"> (2</w:t>
      </w:r>
      <w:r w:rsidR="00DA2FA7">
        <w:rPr>
          <w:color w:val="161616"/>
          <w:sz w:val="22"/>
          <w:szCs w:val="22"/>
        </w:rPr>
        <w:t>5</w:t>
      </w:r>
      <w:r w:rsidRPr="00111FB2">
        <w:rPr>
          <w:color w:val="161616"/>
          <w:sz w:val="22"/>
          <w:szCs w:val="22"/>
        </w:rPr>
        <w:t>′) feet wide, (the “Access Easement”)</w:t>
      </w:r>
      <w:r w:rsidR="005A4FDD">
        <w:rPr>
          <w:color w:val="161616"/>
          <w:sz w:val="22"/>
          <w:szCs w:val="22"/>
        </w:rPr>
        <w:t xml:space="preserve"> across which a driveway</w:t>
      </w:r>
      <w:r w:rsidR="00B55635">
        <w:rPr>
          <w:color w:val="161616"/>
          <w:sz w:val="22"/>
          <w:szCs w:val="22"/>
        </w:rPr>
        <w:t xml:space="preserve"> surface</w:t>
      </w:r>
      <w:r w:rsidR="005A4FDD">
        <w:rPr>
          <w:color w:val="161616"/>
          <w:sz w:val="22"/>
          <w:szCs w:val="22"/>
        </w:rPr>
        <w:t xml:space="preserve"> no </w:t>
      </w:r>
      <w:r w:rsidR="00B55635">
        <w:rPr>
          <w:color w:val="161616"/>
          <w:sz w:val="22"/>
          <w:szCs w:val="22"/>
        </w:rPr>
        <w:t>wider than fifteen (15) feet shall be constructed and maintained</w:t>
      </w:r>
      <w:r w:rsidR="00632A10">
        <w:rPr>
          <w:color w:val="161616"/>
          <w:sz w:val="22"/>
          <w:szCs w:val="22"/>
        </w:rPr>
        <w:t>,</w:t>
      </w:r>
      <w:r w:rsidRPr="00111FB2">
        <w:rPr>
          <w:color w:val="161616"/>
          <w:sz w:val="22"/>
          <w:szCs w:val="22"/>
        </w:rPr>
        <w:t xml:space="preserve"> for the benefit of </w:t>
      </w:r>
      <w:r w:rsidR="005C5699">
        <w:rPr>
          <w:color w:val="161616"/>
          <w:sz w:val="22"/>
          <w:szCs w:val="22"/>
        </w:rPr>
        <w:t xml:space="preserve">the </w:t>
      </w:r>
      <w:r>
        <w:rPr>
          <w:color w:val="161616"/>
          <w:sz w:val="22"/>
          <w:szCs w:val="22"/>
        </w:rPr>
        <w:t>Monroe</w:t>
      </w:r>
      <w:r w:rsidRPr="00111FB2">
        <w:rPr>
          <w:color w:val="161616"/>
          <w:sz w:val="22"/>
          <w:szCs w:val="22"/>
        </w:rPr>
        <w:t xml:space="preserve"> Property</w:t>
      </w:r>
      <w:r w:rsidR="005C5699">
        <w:rPr>
          <w:color w:val="161616"/>
          <w:sz w:val="22"/>
          <w:szCs w:val="22"/>
        </w:rPr>
        <w:t>,</w:t>
      </w:r>
      <w:r w:rsidRPr="00111FB2">
        <w:rPr>
          <w:color w:val="161616"/>
          <w:sz w:val="22"/>
          <w:szCs w:val="22"/>
        </w:rPr>
        <w:t xml:space="preserve"> </w:t>
      </w:r>
      <w:r>
        <w:rPr>
          <w:color w:val="161616"/>
          <w:sz w:val="22"/>
          <w:szCs w:val="22"/>
        </w:rPr>
        <w:t>f</w:t>
      </w:r>
      <w:r w:rsidRPr="00111FB2">
        <w:rPr>
          <w:color w:val="161616"/>
          <w:sz w:val="22"/>
          <w:szCs w:val="22"/>
        </w:rPr>
        <w:t xml:space="preserve">or pedestrian and vehicular access, ingress and egress over, across and through the </w:t>
      </w:r>
      <w:r w:rsidR="005C5699" w:rsidRPr="005C5699">
        <w:rPr>
          <w:color w:val="161616"/>
          <w:sz w:val="22"/>
          <w:szCs w:val="22"/>
        </w:rPr>
        <w:t>e</w:t>
      </w:r>
      <w:r w:rsidRPr="005C5699">
        <w:rPr>
          <w:color w:val="161616"/>
          <w:sz w:val="22"/>
          <w:szCs w:val="22"/>
        </w:rPr>
        <w:t xml:space="preserve">asement </w:t>
      </w:r>
      <w:r w:rsidR="005C5699" w:rsidRPr="005C5699">
        <w:rPr>
          <w:color w:val="161616"/>
          <w:sz w:val="22"/>
          <w:szCs w:val="22"/>
        </w:rPr>
        <w:t>a</w:t>
      </w:r>
      <w:r w:rsidRPr="005C5699">
        <w:rPr>
          <w:color w:val="161616"/>
          <w:sz w:val="22"/>
          <w:szCs w:val="22"/>
        </w:rPr>
        <w:t>rea</w:t>
      </w:r>
      <w:r w:rsidR="005C5699" w:rsidRPr="005C5699">
        <w:rPr>
          <w:color w:val="161616"/>
          <w:sz w:val="22"/>
          <w:szCs w:val="22"/>
        </w:rPr>
        <w:t>,</w:t>
      </w:r>
      <w:r w:rsidR="005C5699">
        <w:rPr>
          <w:color w:val="161616"/>
          <w:sz w:val="22"/>
          <w:szCs w:val="22"/>
        </w:rPr>
        <w:t xml:space="preserve"> to and from Little Neck Road</w:t>
      </w:r>
      <w:r w:rsidRPr="00111FB2">
        <w:rPr>
          <w:color w:val="161616"/>
          <w:sz w:val="22"/>
          <w:szCs w:val="22"/>
        </w:rPr>
        <w:t xml:space="preserve">, and for the </w:t>
      </w:r>
      <w:r w:rsidRPr="00111FB2">
        <w:rPr>
          <w:color w:val="161616"/>
          <w:sz w:val="22"/>
          <w:szCs w:val="22"/>
        </w:rPr>
        <w:lastRenderedPageBreak/>
        <w:t xml:space="preserve">use, improvement, replacement, maintenance and/or repair from time to time within the Easement Area of such </w:t>
      </w:r>
      <w:r w:rsidR="00B55635">
        <w:rPr>
          <w:color w:val="161616"/>
          <w:sz w:val="22"/>
          <w:szCs w:val="22"/>
        </w:rPr>
        <w:t>driveway</w:t>
      </w:r>
      <w:r w:rsidR="00B55635" w:rsidRPr="00111FB2">
        <w:rPr>
          <w:color w:val="161616"/>
          <w:sz w:val="22"/>
          <w:szCs w:val="22"/>
        </w:rPr>
        <w:t xml:space="preserve"> </w:t>
      </w:r>
      <w:r w:rsidRPr="00111FB2">
        <w:rPr>
          <w:color w:val="161616"/>
          <w:sz w:val="22"/>
          <w:szCs w:val="22"/>
        </w:rPr>
        <w:t xml:space="preserve">as shall be necessary or appropriate to effectuate the intent of the easements granted in this instrument. </w:t>
      </w:r>
    </w:p>
    <w:p w14:paraId="71AA1C75" w14:textId="77777777" w:rsidR="005C5699" w:rsidRDefault="005C5699" w:rsidP="005C5699">
      <w:pPr>
        <w:pStyle w:val="ListParagraph"/>
        <w:autoSpaceDE w:val="0"/>
        <w:autoSpaceDN w:val="0"/>
        <w:adjustRightInd w:val="0"/>
        <w:jc w:val="both"/>
        <w:rPr>
          <w:color w:val="161616"/>
          <w:sz w:val="22"/>
          <w:szCs w:val="22"/>
        </w:rPr>
      </w:pPr>
    </w:p>
    <w:p w14:paraId="2612A858" w14:textId="6B9DBDF2" w:rsidR="005C5699" w:rsidRDefault="00632A10" w:rsidP="005C5699">
      <w:pPr>
        <w:pStyle w:val="ListParagraph"/>
        <w:numPr>
          <w:ilvl w:val="0"/>
          <w:numId w:val="1"/>
        </w:numPr>
        <w:autoSpaceDE w:val="0"/>
        <w:autoSpaceDN w:val="0"/>
        <w:adjustRightInd w:val="0"/>
        <w:jc w:val="both"/>
        <w:rPr>
          <w:color w:val="161616"/>
          <w:sz w:val="22"/>
          <w:szCs w:val="22"/>
        </w:rPr>
      </w:pPr>
      <w:r>
        <w:rPr>
          <w:color w:val="161616"/>
          <w:sz w:val="22"/>
          <w:szCs w:val="22"/>
          <w:u w:val="single"/>
        </w:rPr>
        <w:t xml:space="preserve">Pre-existing </w:t>
      </w:r>
      <w:r w:rsidR="005C5699" w:rsidRPr="005C5699">
        <w:rPr>
          <w:color w:val="161616"/>
          <w:sz w:val="22"/>
          <w:szCs w:val="22"/>
          <w:u w:val="single"/>
        </w:rPr>
        <w:t>Easements</w:t>
      </w:r>
      <w:r w:rsidR="005C5699" w:rsidRPr="005C5699">
        <w:rPr>
          <w:color w:val="161616"/>
          <w:sz w:val="22"/>
          <w:szCs w:val="22"/>
        </w:rPr>
        <w:t xml:space="preserve">.  </w:t>
      </w:r>
      <w:r>
        <w:rPr>
          <w:color w:val="161616"/>
          <w:sz w:val="22"/>
          <w:szCs w:val="22"/>
        </w:rPr>
        <w:t xml:space="preserve">The </w:t>
      </w:r>
      <w:r w:rsidR="005C5699">
        <w:rPr>
          <w:color w:val="161616"/>
          <w:sz w:val="22"/>
          <w:szCs w:val="22"/>
        </w:rPr>
        <w:t>easement</w:t>
      </w:r>
      <w:r>
        <w:rPr>
          <w:color w:val="161616"/>
          <w:sz w:val="22"/>
          <w:szCs w:val="22"/>
        </w:rPr>
        <w:t xml:space="preserve"> granted herein</w:t>
      </w:r>
      <w:r w:rsidR="005C5699">
        <w:rPr>
          <w:color w:val="161616"/>
          <w:sz w:val="22"/>
          <w:szCs w:val="22"/>
        </w:rPr>
        <w:t xml:space="preserve"> is </w:t>
      </w:r>
      <w:r w:rsidR="000605F8">
        <w:rPr>
          <w:color w:val="161616"/>
          <w:sz w:val="22"/>
          <w:szCs w:val="22"/>
        </w:rPr>
        <w:t>non-exclusive and</w:t>
      </w:r>
      <w:r w:rsidR="005C5699">
        <w:rPr>
          <w:color w:val="161616"/>
          <w:sz w:val="22"/>
          <w:szCs w:val="22"/>
        </w:rPr>
        <w:t xml:space="preserve"> is expressly </w:t>
      </w:r>
      <w:r w:rsidR="005C5699" w:rsidRPr="005C5699">
        <w:rPr>
          <w:color w:val="161616"/>
          <w:sz w:val="22"/>
          <w:szCs w:val="22"/>
        </w:rPr>
        <w:t xml:space="preserve">subject to the rights of Chatham County to develop a historic trail for public recreational use granted by </w:t>
      </w:r>
      <w:r w:rsidR="005C5699">
        <w:rPr>
          <w:color w:val="161616"/>
          <w:sz w:val="22"/>
          <w:szCs w:val="22"/>
        </w:rPr>
        <w:t>the City</w:t>
      </w:r>
      <w:r w:rsidR="005C5699" w:rsidRPr="005C5699">
        <w:rPr>
          <w:color w:val="161616"/>
          <w:sz w:val="22"/>
          <w:szCs w:val="22"/>
        </w:rPr>
        <w:t xml:space="preserve"> in </w:t>
      </w:r>
      <w:r w:rsidR="005C5699">
        <w:rPr>
          <w:color w:val="161616"/>
          <w:sz w:val="22"/>
          <w:szCs w:val="22"/>
        </w:rPr>
        <w:t xml:space="preserve">an </w:t>
      </w:r>
      <w:r w:rsidR="005C5699" w:rsidRPr="005C5699">
        <w:rPr>
          <w:color w:val="161616"/>
          <w:sz w:val="22"/>
          <w:szCs w:val="22"/>
        </w:rPr>
        <w:t xml:space="preserve">Easement </w:t>
      </w:r>
      <w:r w:rsidR="005C5699">
        <w:rPr>
          <w:color w:val="161616"/>
          <w:sz w:val="22"/>
          <w:szCs w:val="22"/>
        </w:rPr>
        <w:t xml:space="preserve">agreement dated </w:t>
      </w:r>
      <w:r w:rsidR="000605F8">
        <w:rPr>
          <w:color w:val="161616"/>
          <w:sz w:val="22"/>
          <w:szCs w:val="22"/>
        </w:rPr>
        <w:t xml:space="preserve">April 27, </w:t>
      </w:r>
      <w:proofErr w:type="gramStart"/>
      <w:r w:rsidR="000605F8">
        <w:rPr>
          <w:color w:val="161616"/>
          <w:sz w:val="22"/>
          <w:szCs w:val="22"/>
        </w:rPr>
        <w:t>1992</w:t>
      </w:r>
      <w:proofErr w:type="gramEnd"/>
      <w:r w:rsidR="000605F8">
        <w:rPr>
          <w:color w:val="161616"/>
          <w:sz w:val="22"/>
          <w:szCs w:val="22"/>
        </w:rPr>
        <w:t xml:space="preserve"> and</w:t>
      </w:r>
      <w:r w:rsidR="005C5699">
        <w:rPr>
          <w:color w:val="161616"/>
          <w:sz w:val="22"/>
          <w:szCs w:val="22"/>
        </w:rPr>
        <w:t xml:space="preserve"> </w:t>
      </w:r>
      <w:r w:rsidR="005C5699" w:rsidRPr="005C5699">
        <w:rPr>
          <w:color w:val="161616"/>
          <w:sz w:val="22"/>
          <w:szCs w:val="22"/>
        </w:rPr>
        <w:t>recorded in the Office of the Clerk of the Superior Court of Chatham County in Deed Book 153-Y, Page 494.</w:t>
      </w:r>
    </w:p>
    <w:p w14:paraId="34D10AEA" w14:textId="77777777" w:rsidR="005C5699" w:rsidRPr="005C5699" w:rsidRDefault="005C5699" w:rsidP="005C5699">
      <w:pPr>
        <w:pStyle w:val="ListParagraph"/>
        <w:rPr>
          <w:color w:val="161616"/>
          <w:sz w:val="21"/>
          <w:szCs w:val="21"/>
        </w:rPr>
      </w:pPr>
    </w:p>
    <w:p w14:paraId="529C8FC5" w14:textId="77777777" w:rsidR="005C5699" w:rsidRPr="00B55635" w:rsidRDefault="005C5699" w:rsidP="005C5699">
      <w:pPr>
        <w:pStyle w:val="ListParagraph"/>
        <w:numPr>
          <w:ilvl w:val="0"/>
          <w:numId w:val="1"/>
        </w:numPr>
        <w:autoSpaceDE w:val="0"/>
        <w:autoSpaceDN w:val="0"/>
        <w:adjustRightInd w:val="0"/>
        <w:jc w:val="both"/>
        <w:rPr>
          <w:color w:val="161616"/>
          <w:sz w:val="22"/>
          <w:szCs w:val="22"/>
        </w:rPr>
      </w:pPr>
      <w:r w:rsidRPr="00705EE5">
        <w:rPr>
          <w:color w:val="161616"/>
          <w:sz w:val="22"/>
          <w:szCs w:val="22"/>
          <w:u w:val="single"/>
        </w:rPr>
        <w:t>Rights retained by the City and the County</w:t>
      </w:r>
      <w:r w:rsidRPr="00705EE5">
        <w:rPr>
          <w:color w:val="161616"/>
          <w:sz w:val="22"/>
          <w:szCs w:val="22"/>
        </w:rPr>
        <w:t xml:space="preserve">.  </w:t>
      </w:r>
      <w:r w:rsidR="00492A81" w:rsidRPr="00705EE5">
        <w:rPr>
          <w:color w:val="161616"/>
          <w:sz w:val="22"/>
          <w:szCs w:val="22"/>
        </w:rPr>
        <w:t xml:space="preserve">By acceptance of this </w:t>
      </w:r>
      <w:r w:rsidR="00632A10" w:rsidRPr="00705EE5">
        <w:rPr>
          <w:color w:val="161616"/>
          <w:sz w:val="22"/>
          <w:szCs w:val="22"/>
        </w:rPr>
        <w:t>e</w:t>
      </w:r>
      <w:r w:rsidR="00492A81" w:rsidRPr="00705EE5">
        <w:rPr>
          <w:color w:val="161616"/>
          <w:sz w:val="22"/>
          <w:szCs w:val="22"/>
        </w:rPr>
        <w:t xml:space="preserve">asement, </w:t>
      </w:r>
      <w:r w:rsidRPr="00705EE5">
        <w:rPr>
          <w:color w:val="161616"/>
          <w:sz w:val="22"/>
          <w:szCs w:val="22"/>
        </w:rPr>
        <w:t>Monroe</w:t>
      </w:r>
      <w:r w:rsidR="005B4CB3" w:rsidRPr="00705EE5">
        <w:rPr>
          <w:color w:val="161616"/>
          <w:sz w:val="22"/>
          <w:szCs w:val="22"/>
        </w:rPr>
        <w:t xml:space="preserve"> </w:t>
      </w:r>
      <w:r w:rsidR="00492A81" w:rsidRPr="00705EE5">
        <w:rPr>
          <w:color w:val="161616"/>
          <w:sz w:val="22"/>
          <w:szCs w:val="22"/>
        </w:rPr>
        <w:t xml:space="preserve">hereby </w:t>
      </w:r>
      <w:r w:rsidR="005B4CB3" w:rsidRPr="00705EE5">
        <w:rPr>
          <w:color w:val="161616"/>
          <w:sz w:val="22"/>
          <w:szCs w:val="22"/>
        </w:rPr>
        <w:t>acknowledge</w:t>
      </w:r>
      <w:r w:rsidR="00492A81" w:rsidRPr="00705EE5">
        <w:rPr>
          <w:color w:val="161616"/>
          <w:sz w:val="22"/>
          <w:szCs w:val="22"/>
        </w:rPr>
        <w:t>s</w:t>
      </w:r>
      <w:r w:rsidR="005B4CB3" w:rsidRPr="00705EE5">
        <w:rPr>
          <w:color w:val="161616"/>
          <w:sz w:val="22"/>
          <w:szCs w:val="22"/>
        </w:rPr>
        <w:t xml:space="preserve"> and agree</w:t>
      </w:r>
      <w:r w:rsidR="00492A81" w:rsidRPr="00705EE5">
        <w:rPr>
          <w:color w:val="161616"/>
          <w:sz w:val="22"/>
          <w:szCs w:val="22"/>
        </w:rPr>
        <w:t>s</w:t>
      </w:r>
      <w:r w:rsidR="005B4CB3" w:rsidRPr="00705EE5">
        <w:rPr>
          <w:color w:val="161616"/>
          <w:sz w:val="22"/>
          <w:szCs w:val="22"/>
        </w:rPr>
        <w:t xml:space="preserve"> to accommodate any future trail or other recreation use of the canal right-of-way as proposed by Chatham County or the </w:t>
      </w:r>
      <w:r w:rsidRPr="00705EE5">
        <w:rPr>
          <w:color w:val="161616"/>
          <w:sz w:val="22"/>
          <w:szCs w:val="22"/>
        </w:rPr>
        <w:t>City.  The City</w:t>
      </w:r>
      <w:r w:rsidR="005B4CB3" w:rsidRPr="00705EE5">
        <w:rPr>
          <w:color w:val="161616"/>
          <w:sz w:val="22"/>
          <w:szCs w:val="22"/>
        </w:rPr>
        <w:t xml:space="preserve"> </w:t>
      </w:r>
      <w:r w:rsidRPr="00705EE5">
        <w:rPr>
          <w:color w:val="161616"/>
          <w:sz w:val="22"/>
          <w:szCs w:val="22"/>
        </w:rPr>
        <w:t xml:space="preserve">hereby </w:t>
      </w:r>
      <w:r w:rsidR="005B4CB3" w:rsidRPr="00705EE5">
        <w:rPr>
          <w:color w:val="161616"/>
          <w:sz w:val="22"/>
          <w:szCs w:val="22"/>
        </w:rPr>
        <w:t>reserves the right to enhance or modify</w:t>
      </w:r>
      <w:r w:rsidR="00632A10" w:rsidRPr="00705EE5">
        <w:rPr>
          <w:color w:val="161616"/>
          <w:sz w:val="22"/>
          <w:szCs w:val="22"/>
        </w:rPr>
        <w:t xml:space="preserve"> the canal in the easement area</w:t>
      </w:r>
      <w:r w:rsidR="005B4CB3" w:rsidRPr="00705EE5">
        <w:rPr>
          <w:color w:val="161616"/>
          <w:sz w:val="22"/>
          <w:szCs w:val="22"/>
        </w:rPr>
        <w:t xml:space="preserve">, irrespective of the impact such actions may have on </w:t>
      </w:r>
      <w:r w:rsidRPr="00705EE5">
        <w:rPr>
          <w:color w:val="161616"/>
          <w:sz w:val="22"/>
          <w:szCs w:val="22"/>
        </w:rPr>
        <w:t>Monroe</w:t>
      </w:r>
      <w:r w:rsidR="005B4CB3" w:rsidRPr="00705EE5">
        <w:rPr>
          <w:color w:val="161616"/>
          <w:sz w:val="22"/>
          <w:szCs w:val="22"/>
        </w:rPr>
        <w:t xml:space="preserve"> as long as legal and physical access</w:t>
      </w:r>
      <w:r w:rsidRPr="00705EE5">
        <w:rPr>
          <w:color w:val="161616"/>
          <w:sz w:val="22"/>
          <w:szCs w:val="22"/>
        </w:rPr>
        <w:t xml:space="preserve"> to the Monroe P</w:t>
      </w:r>
      <w:r w:rsidR="00492A81" w:rsidRPr="00705EE5">
        <w:rPr>
          <w:color w:val="161616"/>
          <w:sz w:val="22"/>
          <w:szCs w:val="22"/>
        </w:rPr>
        <w:t xml:space="preserve">roperty </w:t>
      </w:r>
      <w:r w:rsidR="005B4CB3" w:rsidRPr="00705EE5">
        <w:rPr>
          <w:color w:val="161616"/>
          <w:sz w:val="22"/>
          <w:szCs w:val="22"/>
        </w:rPr>
        <w:t>remains</w:t>
      </w:r>
      <w:r w:rsidRPr="00705EE5">
        <w:rPr>
          <w:color w:val="161616"/>
          <w:sz w:val="22"/>
          <w:szCs w:val="22"/>
        </w:rPr>
        <w:t xml:space="preserve"> intact</w:t>
      </w:r>
      <w:r w:rsidR="005B4CB3" w:rsidRPr="00705EE5">
        <w:rPr>
          <w:color w:val="161616"/>
          <w:sz w:val="22"/>
          <w:szCs w:val="22"/>
        </w:rPr>
        <w:t xml:space="preserve">. Such enhancements or modifications may include, but </w:t>
      </w:r>
      <w:r w:rsidR="00492A81" w:rsidRPr="00705EE5">
        <w:rPr>
          <w:color w:val="161616"/>
          <w:sz w:val="22"/>
          <w:szCs w:val="22"/>
        </w:rPr>
        <w:t xml:space="preserve">are </w:t>
      </w:r>
      <w:r w:rsidR="005B4CB3" w:rsidRPr="00705EE5">
        <w:rPr>
          <w:color w:val="161616"/>
          <w:sz w:val="22"/>
          <w:szCs w:val="22"/>
        </w:rPr>
        <w:t>not limited to, improving or modifying the existing culvert that is in</w:t>
      </w:r>
      <w:r w:rsidR="00492A81" w:rsidRPr="00705EE5">
        <w:rPr>
          <w:color w:val="161616"/>
          <w:sz w:val="22"/>
          <w:szCs w:val="22"/>
        </w:rPr>
        <w:t xml:space="preserve"> the canal at the easement area</w:t>
      </w:r>
      <w:r w:rsidR="005B4CB3" w:rsidRPr="00705EE5">
        <w:rPr>
          <w:color w:val="161616"/>
          <w:sz w:val="22"/>
          <w:szCs w:val="22"/>
        </w:rPr>
        <w:t>, converting the canal crossing into a bridge, relocating the crossing, providing trails or other public pathways across the easement property, etc.</w:t>
      </w:r>
    </w:p>
    <w:p w14:paraId="5B444D75" w14:textId="77777777" w:rsidR="005C5699" w:rsidRPr="00705EE5" w:rsidRDefault="005C5699" w:rsidP="005C5699">
      <w:pPr>
        <w:pStyle w:val="ListParagraph"/>
        <w:rPr>
          <w:color w:val="161616"/>
          <w:sz w:val="22"/>
          <w:szCs w:val="22"/>
        </w:rPr>
      </w:pPr>
    </w:p>
    <w:p w14:paraId="665C79FD" w14:textId="4393A835" w:rsidR="00357DF5" w:rsidRPr="00B55635" w:rsidRDefault="005C5699" w:rsidP="00357DF5">
      <w:pPr>
        <w:pStyle w:val="ListParagraph"/>
        <w:numPr>
          <w:ilvl w:val="0"/>
          <w:numId w:val="1"/>
        </w:numPr>
        <w:autoSpaceDE w:val="0"/>
        <w:autoSpaceDN w:val="0"/>
        <w:adjustRightInd w:val="0"/>
        <w:jc w:val="both"/>
        <w:rPr>
          <w:color w:val="161616"/>
          <w:sz w:val="22"/>
          <w:szCs w:val="22"/>
        </w:rPr>
      </w:pPr>
      <w:r w:rsidRPr="00705EE5">
        <w:rPr>
          <w:color w:val="161616"/>
          <w:sz w:val="22"/>
          <w:szCs w:val="22"/>
          <w:u w:val="single"/>
        </w:rPr>
        <w:t>Modifications to Easement Area by Monroe</w:t>
      </w:r>
      <w:r w:rsidRPr="00705EE5">
        <w:rPr>
          <w:color w:val="161616"/>
          <w:sz w:val="22"/>
          <w:szCs w:val="22"/>
        </w:rPr>
        <w:t xml:space="preserve">.  </w:t>
      </w:r>
      <w:r w:rsidR="00492A81" w:rsidRPr="00705EE5">
        <w:rPr>
          <w:color w:val="161616"/>
          <w:sz w:val="22"/>
          <w:szCs w:val="22"/>
        </w:rPr>
        <w:t>I</w:t>
      </w:r>
      <w:r w:rsidR="005B4CB3" w:rsidRPr="00705EE5">
        <w:rPr>
          <w:color w:val="161616"/>
          <w:sz w:val="22"/>
          <w:szCs w:val="22"/>
        </w:rPr>
        <w:t xml:space="preserve">n the event </w:t>
      </w:r>
      <w:r w:rsidR="00632A10" w:rsidRPr="00705EE5">
        <w:rPr>
          <w:color w:val="161616"/>
          <w:sz w:val="22"/>
          <w:szCs w:val="22"/>
        </w:rPr>
        <w:t>Monroe</w:t>
      </w:r>
      <w:r w:rsidR="005B4CB3" w:rsidRPr="00705EE5">
        <w:rPr>
          <w:color w:val="161616"/>
          <w:sz w:val="22"/>
          <w:szCs w:val="22"/>
        </w:rPr>
        <w:t xml:space="preserve"> seeks to make any improvements or modifications in the easement </w:t>
      </w:r>
      <w:r w:rsidR="00492A81" w:rsidRPr="00705EE5">
        <w:rPr>
          <w:color w:val="161616"/>
          <w:sz w:val="22"/>
          <w:szCs w:val="22"/>
        </w:rPr>
        <w:t>area</w:t>
      </w:r>
      <w:r w:rsidR="005B4CB3" w:rsidRPr="00705EE5">
        <w:rPr>
          <w:color w:val="161616"/>
          <w:sz w:val="22"/>
          <w:szCs w:val="22"/>
        </w:rPr>
        <w:t xml:space="preserve">, </w:t>
      </w:r>
      <w:r w:rsidR="00632A10" w:rsidRPr="00705EE5">
        <w:rPr>
          <w:color w:val="161616"/>
          <w:sz w:val="22"/>
          <w:szCs w:val="22"/>
        </w:rPr>
        <w:t>Monroe</w:t>
      </w:r>
      <w:r w:rsidR="005B4CB3" w:rsidRPr="00705EE5">
        <w:rPr>
          <w:color w:val="161616"/>
          <w:sz w:val="22"/>
          <w:szCs w:val="22"/>
        </w:rPr>
        <w:t xml:space="preserve"> wil</w:t>
      </w:r>
      <w:r w:rsidR="00632A10" w:rsidRPr="00705EE5">
        <w:rPr>
          <w:color w:val="161616"/>
          <w:sz w:val="22"/>
          <w:szCs w:val="22"/>
        </w:rPr>
        <w:t>l provide proposed plans to the City</w:t>
      </w:r>
      <w:r w:rsidR="005B4CB3" w:rsidRPr="00705EE5">
        <w:rPr>
          <w:color w:val="161616"/>
          <w:sz w:val="22"/>
          <w:szCs w:val="22"/>
        </w:rPr>
        <w:t xml:space="preserve"> for approval, whose consent and approval may be withheld at its sole discretion. Examples of such improvements or </w:t>
      </w:r>
      <w:r w:rsidR="005B4CB3" w:rsidRPr="00705EE5">
        <w:rPr>
          <w:color w:val="141414"/>
          <w:sz w:val="22"/>
          <w:szCs w:val="22"/>
        </w:rPr>
        <w:t xml:space="preserve">modifications may include, but not be limited to, the installation of sand, rock, paving, or other materials in the easement area. Any such approved modifications within the easement areas will be at </w:t>
      </w:r>
      <w:r w:rsidR="00632A10" w:rsidRPr="00705EE5">
        <w:rPr>
          <w:color w:val="141414"/>
          <w:sz w:val="22"/>
          <w:szCs w:val="22"/>
        </w:rPr>
        <w:t>Monroe’s</w:t>
      </w:r>
      <w:r w:rsidR="005B4CB3" w:rsidRPr="00705EE5">
        <w:rPr>
          <w:color w:val="141414"/>
          <w:sz w:val="22"/>
          <w:szCs w:val="22"/>
        </w:rPr>
        <w:t xml:space="preserve"> sole expense and at no cost to the </w:t>
      </w:r>
      <w:r w:rsidR="000605F8" w:rsidRPr="00705EE5">
        <w:rPr>
          <w:color w:val="141414"/>
          <w:sz w:val="22"/>
          <w:szCs w:val="22"/>
        </w:rPr>
        <w:t>City and</w:t>
      </w:r>
      <w:r w:rsidR="005B4CB3" w:rsidRPr="00705EE5">
        <w:rPr>
          <w:color w:val="141414"/>
          <w:sz w:val="22"/>
          <w:szCs w:val="22"/>
        </w:rPr>
        <w:t xml:space="preserve"> </w:t>
      </w:r>
      <w:r w:rsidR="00632A10" w:rsidRPr="00705EE5">
        <w:rPr>
          <w:color w:val="141414"/>
          <w:sz w:val="22"/>
          <w:szCs w:val="22"/>
        </w:rPr>
        <w:t xml:space="preserve">shall </w:t>
      </w:r>
      <w:r w:rsidR="005B4CB3" w:rsidRPr="00705EE5">
        <w:rPr>
          <w:color w:val="141414"/>
          <w:sz w:val="22"/>
          <w:szCs w:val="22"/>
        </w:rPr>
        <w:t xml:space="preserve">be maintained by </w:t>
      </w:r>
      <w:r w:rsidR="00632A10" w:rsidRPr="00705EE5">
        <w:rPr>
          <w:color w:val="141414"/>
          <w:sz w:val="22"/>
          <w:szCs w:val="22"/>
        </w:rPr>
        <w:t>Monroe</w:t>
      </w:r>
      <w:r w:rsidR="005B4CB3" w:rsidRPr="00705EE5">
        <w:rPr>
          <w:color w:val="141414"/>
          <w:sz w:val="22"/>
          <w:szCs w:val="22"/>
        </w:rPr>
        <w:t xml:space="preserve"> </w:t>
      </w:r>
      <w:r w:rsidR="00632A10" w:rsidRPr="00705EE5">
        <w:rPr>
          <w:color w:val="141414"/>
          <w:sz w:val="22"/>
          <w:szCs w:val="22"/>
        </w:rPr>
        <w:t>at no cost to the City</w:t>
      </w:r>
      <w:r w:rsidR="00492A81" w:rsidRPr="00705EE5">
        <w:rPr>
          <w:color w:val="141414"/>
          <w:sz w:val="22"/>
          <w:szCs w:val="22"/>
        </w:rPr>
        <w:t xml:space="preserve">.  </w:t>
      </w:r>
    </w:p>
    <w:p w14:paraId="04C0BBC0" w14:textId="77777777" w:rsidR="00357DF5" w:rsidRPr="00705EE5" w:rsidRDefault="00357DF5" w:rsidP="00357DF5">
      <w:pPr>
        <w:pStyle w:val="ListParagraph"/>
        <w:rPr>
          <w:color w:val="141414"/>
          <w:sz w:val="22"/>
          <w:szCs w:val="22"/>
        </w:rPr>
      </w:pPr>
    </w:p>
    <w:p w14:paraId="4D85D39A" w14:textId="693D756B" w:rsidR="007320B6" w:rsidRPr="00705EE5" w:rsidRDefault="006B4EC9" w:rsidP="00357DF5">
      <w:pPr>
        <w:pStyle w:val="ListParagraph"/>
        <w:numPr>
          <w:ilvl w:val="0"/>
          <w:numId w:val="1"/>
        </w:numPr>
        <w:autoSpaceDE w:val="0"/>
        <w:autoSpaceDN w:val="0"/>
        <w:adjustRightInd w:val="0"/>
        <w:jc w:val="both"/>
        <w:rPr>
          <w:color w:val="161616"/>
          <w:sz w:val="22"/>
          <w:szCs w:val="22"/>
        </w:rPr>
      </w:pPr>
      <w:r>
        <w:rPr>
          <w:color w:val="161616"/>
          <w:sz w:val="22"/>
          <w:szCs w:val="22"/>
        </w:rPr>
        <w:t xml:space="preserve">Maintenance of Easement and </w:t>
      </w:r>
      <w:r w:rsidR="007320B6">
        <w:rPr>
          <w:color w:val="161616"/>
          <w:sz w:val="22"/>
          <w:szCs w:val="22"/>
        </w:rPr>
        <w:t>Culvert</w:t>
      </w:r>
      <w:r w:rsidR="00B312CE">
        <w:rPr>
          <w:color w:val="161616"/>
          <w:sz w:val="22"/>
          <w:szCs w:val="22"/>
        </w:rPr>
        <w:t xml:space="preserve">.   Monroe shall, at Monroe’s sole cost and expense, and at no cost or expense to the City, keep </w:t>
      </w:r>
      <w:r>
        <w:rPr>
          <w:color w:val="161616"/>
          <w:sz w:val="22"/>
          <w:szCs w:val="22"/>
        </w:rPr>
        <w:t>and maintain the easement area</w:t>
      </w:r>
      <w:r w:rsidR="00AD0FEA">
        <w:rPr>
          <w:color w:val="161616"/>
          <w:sz w:val="22"/>
          <w:szCs w:val="22"/>
        </w:rPr>
        <w:t xml:space="preserve">, stabilize any banks to prevent erosion, and keep </w:t>
      </w:r>
      <w:r w:rsidR="00B312CE">
        <w:rPr>
          <w:color w:val="161616"/>
          <w:sz w:val="22"/>
          <w:szCs w:val="22"/>
        </w:rPr>
        <w:t xml:space="preserve">the culvert clear and unobstructed so that stormwater may flow freely </w:t>
      </w:r>
      <w:r>
        <w:rPr>
          <w:color w:val="161616"/>
          <w:sz w:val="22"/>
          <w:szCs w:val="22"/>
        </w:rPr>
        <w:t>through the culvert and the easement area.</w:t>
      </w:r>
    </w:p>
    <w:p w14:paraId="22138CFE" w14:textId="77777777" w:rsidR="007320B6" w:rsidRPr="00705EE5" w:rsidRDefault="007320B6" w:rsidP="00705EE5">
      <w:pPr>
        <w:pStyle w:val="ListParagraph"/>
        <w:rPr>
          <w:color w:val="141414"/>
          <w:sz w:val="22"/>
          <w:szCs w:val="22"/>
          <w:u w:val="single"/>
        </w:rPr>
      </w:pPr>
    </w:p>
    <w:p w14:paraId="70EF6A3F" w14:textId="2A99134A" w:rsidR="00357DF5" w:rsidRPr="00B55635" w:rsidRDefault="00357DF5" w:rsidP="00357DF5">
      <w:pPr>
        <w:pStyle w:val="ListParagraph"/>
        <w:numPr>
          <w:ilvl w:val="0"/>
          <w:numId w:val="1"/>
        </w:numPr>
        <w:autoSpaceDE w:val="0"/>
        <w:autoSpaceDN w:val="0"/>
        <w:adjustRightInd w:val="0"/>
        <w:jc w:val="both"/>
        <w:rPr>
          <w:color w:val="161616"/>
          <w:sz w:val="22"/>
          <w:szCs w:val="22"/>
        </w:rPr>
      </w:pPr>
      <w:r w:rsidRPr="00705EE5">
        <w:rPr>
          <w:color w:val="141414"/>
          <w:sz w:val="22"/>
          <w:szCs w:val="22"/>
          <w:u w:val="single"/>
        </w:rPr>
        <w:t>Termination</w:t>
      </w:r>
      <w:r w:rsidRPr="00705EE5">
        <w:rPr>
          <w:color w:val="141414"/>
          <w:sz w:val="22"/>
          <w:szCs w:val="22"/>
        </w:rPr>
        <w:t xml:space="preserve">.  </w:t>
      </w:r>
      <w:r w:rsidR="00492A81" w:rsidRPr="00705EE5">
        <w:rPr>
          <w:color w:val="141414"/>
          <w:sz w:val="22"/>
          <w:szCs w:val="22"/>
        </w:rPr>
        <w:t xml:space="preserve">In the event that </w:t>
      </w:r>
      <w:r w:rsidRPr="00705EE5">
        <w:rPr>
          <w:color w:val="141414"/>
          <w:sz w:val="22"/>
          <w:szCs w:val="22"/>
        </w:rPr>
        <w:t>Monroe</w:t>
      </w:r>
      <w:r w:rsidR="00492A81" w:rsidRPr="00705EE5">
        <w:rPr>
          <w:color w:val="141414"/>
          <w:sz w:val="22"/>
          <w:szCs w:val="22"/>
        </w:rPr>
        <w:t xml:space="preserve"> </w:t>
      </w:r>
      <w:r w:rsidRPr="00705EE5">
        <w:rPr>
          <w:color w:val="141414"/>
          <w:sz w:val="22"/>
          <w:szCs w:val="22"/>
        </w:rPr>
        <w:t>obtains</w:t>
      </w:r>
      <w:r w:rsidR="00492A81" w:rsidRPr="00705EE5">
        <w:rPr>
          <w:color w:val="141414"/>
          <w:sz w:val="22"/>
          <w:szCs w:val="22"/>
        </w:rPr>
        <w:t xml:space="preserve"> another route of legal access </w:t>
      </w:r>
      <w:r w:rsidR="00632A10" w:rsidRPr="00705EE5">
        <w:rPr>
          <w:color w:val="141414"/>
          <w:sz w:val="22"/>
          <w:szCs w:val="22"/>
        </w:rPr>
        <w:t xml:space="preserve">for the Monroe Property </w:t>
      </w:r>
      <w:r w:rsidR="00492A81" w:rsidRPr="00705EE5">
        <w:rPr>
          <w:color w:val="141414"/>
          <w:sz w:val="22"/>
          <w:szCs w:val="22"/>
        </w:rPr>
        <w:t xml:space="preserve">to </w:t>
      </w:r>
      <w:r w:rsidRPr="00705EE5">
        <w:rPr>
          <w:color w:val="141414"/>
          <w:sz w:val="22"/>
          <w:szCs w:val="22"/>
        </w:rPr>
        <w:t>Little Neck R</w:t>
      </w:r>
      <w:r w:rsidR="00492A81" w:rsidRPr="00705EE5">
        <w:rPr>
          <w:color w:val="141414"/>
          <w:sz w:val="22"/>
          <w:szCs w:val="22"/>
        </w:rPr>
        <w:t>oad, at least twenty (</w:t>
      </w:r>
      <w:r w:rsidR="00D443E1" w:rsidRPr="00B55635">
        <w:rPr>
          <w:color w:val="161616"/>
          <w:sz w:val="22"/>
          <w:szCs w:val="22"/>
        </w:rPr>
        <w:t>20′</w:t>
      </w:r>
      <w:r w:rsidR="00492A81" w:rsidRPr="00705EE5">
        <w:rPr>
          <w:color w:val="141414"/>
          <w:sz w:val="22"/>
          <w:szCs w:val="22"/>
        </w:rPr>
        <w:t xml:space="preserve">) feet wide, this </w:t>
      </w:r>
      <w:r w:rsidR="005B4CB3" w:rsidRPr="00705EE5">
        <w:rPr>
          <w:color w:val="141414"/>
          <w:sz w:val="22"/>
          <w:szCs w:val="22"/>
        </w:rPr>
        <w:t xml:space="preserve">Easement </w:t>
      </w:r>
      <w:r w:rsidR="00492A81" w:rsidRPr="00705EE5">
        <w:rPr>
          <w:color w:val="141414"/>
          <w:sz w:val="22"/>
          <w:szCs w:val="22"/>
        </w:rPr>
        <w:t>shall</w:t>
      </w:r>
      <w:r w:rsidR="005B4CB3" w:rsidRPr="00705EE5">
        <w:rPr>
          <w:color w:val="141414"/>
          <w:sz w:val="22"/>
          <w:szCs w:val="22"/>
        </w:rPr>
        <w:t xml:space="preserve"> terminate</w:t>
      </w:r>
      <w:r w:rsidR="00492A81" w:rsidRPr="00705EE5">
        <w:rPr>
          <w:color w:val="141414"/>
          <w:sz w:val="22"/>
          <w:szCs w:val="22"/>
        </w:rPr>
        <w:t xml:space="preserve">.  </w:t>
      </w:r>
    </w:p>
    <w:p w14:paraId="2BCBE740" w14:textId="77777777" w:rsidR="00357DF5" w:rsidRPr="00705EE5" w:rsidRDefault="00357DF5" w:rsidP="00357DF5">
      <w:pPr>
        <w:pStyle w:val="ListParagraph"/>
        <w:rPr>
          <w:color w:val="141414"/>
          <w:sz w:val="22"/>
          <w:szCs w:val="22"/>
        </w:rPr>
      </w:pPr>
    </w:p>
    <w:p w14:paraId="48735F89" w14:textId="77777777" w:rsidR="00357DF5" w:rsidRPr="00B55635" w:rsidRDefault="00357DF5" w:rsidP="00357DF5">
      <w:pPr>
        <w:pStyle w:val="ListParagraph"/>
        <w:numPr>
          <w:ilvl w:val="0"/>
          <w:numId w:val="1"/>
        </w:numPr>
        <w:autoSpaceDE w:val="0"/>
        <w:autoSpaceDN w:val="0"/>
        <w:adjustRightInd w:val="0"/>
        <w:jc w:val="both"/>
        <w:rPr>
          <w:color w:val="161616"/>
          <w:sz w:val="22"/>
          <w:szCs w:val="22"/>
        </w:rPr>
      </w:pPr>
      <w:r w:rsidRPr="00705EE5">
        <w:rPr>
          <w:color w:val="141414"/>
          <w:sz w:val="22"/>
          <w:szCs w:val="22"/>
          <w:u w:val="single"/>
        </w:rPr>
        <w:t>Indemnification</w:t>
      </w:r>
      <w:r w:rsidRPr="00705EE5">
        <w:rPr>
          <w:color w:val="141414"/>
          <w:sz w:val="22"/>
          <w:szCs w:val="22"/>
        </w:rPr>
        <w:t>.  Monroe</w:t>
      </w:r>
      <w:r w:rsidR="005B4CB3" w:rsidRPr="00705EE5">
        <w:rPr>
          <w:color w:val="141414"/>
          <w:sz w:val="22"/>
          <w:szCs w:val="22"/>
        </w:rPr>
        <w:t xml:space="preserve"> </w:t>
      </w:r>
      <w:r w:rsidRPr="00705EE5">
        <w:rPr>
          <w:color w:val="141414"/>
          <w:sz w:val="22"/>
          <w:szCs w:val="22"/>
        </w:rPr>
        <w:t xml:space="preserve">hereby </w:t>
      </w:r>
      <w:r w:rsidR="005B4CB3" w:rsidRPr="00705EE5">
        <w:rPr>
          <w:color w:val="141414"/>
          <w:sz w:val="22"/>
          <w:szCs w:val="22"/>
        </w:rPr>
        <w:t xml:space="preserve">agrees to </w:t>
      </w:r>
      <w:r w:rsidR="00492A81" w:rsidRPr="00705EE5">
        <w:rPr>
          <w:color w:val="141414"/>
          <w:sz w:val="22"/>
          <w:szCs w:val="22"/>
        </w:rPr>
        <w:t>indemnify</w:t>
      </w:r>
      <w:r w:rsidR="005B4CB3" w:rsidRPr="00705EE5">
        <w:rPr>
          <w:color w:val="141414"/>
          <w:sz w:val="22"/>
          <w:szCs w:val="22"/>
        </w:rPr>
        <w:t xml:space="preserve"> and hold the </w:t>
      </w:r>
      <w:r w:rsidRPr="00705EE5">
        <w:rPr>
          <w:color w:val="141414"/>
          <w:sz w:val="22"/>
          <w:szCs w:val="22"/>
        </w:rPr>
        <w:t>City</w:t>
      </w:r>
      <w:r w:rsidR="005B4CB3" w:rsidRPr="00705EE5">
        <w:rPr>
          <w:color w:val="141414"/>
          <w:sz w:val="22"/>
          <w:szCs w:val="22"/>
        </w:rPr>
        <w:t xml:space="preserve"> harmless from any injuries, damages</w:t>
      </w:r>
      <w:r w:rsidR="005B4CB3" w:rsidRPr="00705EE5">
        <w:rPr>
          <w:color w:val="353535"/>
          <w:sz w:val="22"/>
          <w:szCs w:val="22"/>
        </w:rPr>
        <w:t xml:space="preserve">, </w:t>
      </w:r>
      <w:r w:rsidR="005B4CB3" w:rsidRPr="00705EE5">
        <w:rPr>
          <w:color w:val="141414"/>
          <w:sz w:val="22"/>
          <w:szCs w:val="22"/>
        </w:rPr>
        <w:t xml:space="preserve">or adverse conditions which may arise from </w:t>
      </w:r>
      <w:r w:rsidR="00632A10" w:rsidRPr="00705EE5">
        <w:rPr>
          <w:color w:val="141414"/>
          <w:sz w:val="22"/>
          <w:szCs w:val="22"/>
        </w:rPr>
        <w:t>Monroe’s</w:t>
      </w:r>
      <w:r w:rsidR="005B4CB3" w:rsidRPr="00705EE5">
        <w:rPr>
          <w:color w:val="141414"/>
          <w:sz w:val="22"/>
          <w:szCs w:val="22"/>
        </w:rPr>
        <w:t xml:space="preserve"> use of the </w:t>
      </w:r>
      <w:r w:rsidR="00632A10" w:rsidRPr="00705EE5">
        <w:rPr>
          <w:color w:val="141414"/>
          <w:sz w:val="22"/>
          <w:szCs w:val="22"/>
        </w:rPr>
        <w:t>easement area</w:t>
      </w:r>
      <w:r w:rsidR="005B4CB3" w:rsidRPr="00705EE5">
        <w:rPr>
          <w:color w:val="141414"/>
          <w:sz w:val="22"/>
          <w:szCs w:val="22"/>
        </w:rPr>
        <w:t>.</w:t>
      </w:r>
    </w:p>
    <w:p w14:paraId="0D24EA15" w14:textId="77777777" w:rsidR="00357DF5" w:rsidRPr="00705EE5" w:rsidRDefault="00357DF5" w:rsidP="00357DF5">
      <w:pPr>
        <w:pStyle w:val="ListParagraph"/>
        <w:rPr>
          <w:color w:val="141414"/>
          <w:sz w:val="22"/>
          <w:szCs w:val="22"/>
        </w:rPr>
      </w:pPr>
    </w:p>
    <w:p w14:paraId="5C34DCE7" w14:textId="77777777" w:rsidR="005B4CB3" w:rsidRPr="00B55635" w:rsidRDefault="00357DF5" w:rsidP="00357DF5">
      <w:pPr>
        <w:pStyle w:val="ListParagraph"/>
        <w:numPr>
          <w:ilvl w:val="0"/>
          <w:numId w:val="1"/>
        </w:numPr>
        <w:autoSpaceDE w:val="0"/>
        <w:autoSpaceDN w:val="0"/>
        <w:adjustRightInd w:val="0"/>
        <w:jc w:val="both"/>
        <w:rPr>
          <w:color w:val="161616"/>
          <w:sz w:val="22"/>
          <w:szCs w:val="22"/>
        </w:rPr>
      </w:pPr>
      <w:r w:rsidRPr="00705EE5">
        <w:rPr>
          <w:color w:val="141414"/>
          <w:sz w:val="22"/>
          <w:szCs w:val="22"/>
          <w:u w:val="single"/>
        </w:rPr>
        <w:t>Binding Effect</w:t>
      </w:r>
      <w:r w:rsidRPr="00705EE5">
        <w:rPr>
          <w:color w:val="141414"/>
          <w:sz w:val="22"/>
          <w:szCs w:val="22"/>
        </w:rPr>
        <w:t xml:space="preserve">.  </w:t>
      </w:r>
      <w:r w:rsidR="00632A10" w:rsidRPr="00705EE5">
        <w:rPr>
          <w:color w:val="141414"/>
          <w:sz w:val="22"/>
          <w:szCs w:val="22"/>
        </w:rPr>
        <w:t xml:space="preserve">This Agreement, and the </w:t>
      </w:r>
      <w:r w:rsidR="005B4CB3" w:rsidRPr="00705EE5">
        <w:rPr>
          <w:color w:val="141414"/>
          <w:sz w:val="22"/>
          <w:szCs w:val="22"/>
        </w:rPr>
        <w:t xml:space="preserve">easement granted </w:t>
      </w:r>
      <w:r w:rsidR="00492A81" w:rsidRPr="00705EE5">
        <w:rPr>
          <w:color w:val="141414"/>
          <w:sz w:val="22"/>
          <w:szCs w:val="22"/>
        </w:rPr>
        <w:t>herein</w:t>
      </w:r>
      <w:r w:rsidR="00632A10" w:rsidRPr="00705EE5">
        <w:rPr>
          <w:color w:val="141414"/>
          <w:sz w:val="22"/>
          <w:szCs w:val="22"/>
        </w:rPr>
        <w:t>,</w:t>
      </w:r>
      <w:r w:rsidR="00492A81" w:rsidRPr="00705EE5">
        <w:rPr>
          <w:color w:val="141414"/>
          <w:sz w:val="22"/>
          <w:szCs w:val="22"/>
        </w:rPr>
        <w:t xml:space="preserve"> </w:t>
      </w:r>
      <w:r w:rsidR="005B4CB3" w:rsidRPr="00705EE5">
        <w:rPr>
          <w:color w:val="141414"/>
          <w:sz w:val="22"/>
          <w:szCs w:val="22"/>
        </w:rPr>
        <w:t xml:space="preserve">shall inure to the benefit of and be binding on the </w:t>
      </w:r>
      <w:r w:rsidRPr="00705EE5">
        <w:rPr>
          <w:color w:val="141414"/>
          <w:sz w:val="22"/>
          <w:szCs w:val="22"/>
        </w:rPr>
        <w:t>City, Monroe,</w:t>
      </w:r>
      <w:r w:rsidR="005B4CB3" w:rsidRPr="00705EE5">
        <w:rPr>
          <w:color w:val="141414"/>
          <w:sz w:val="22"/>
          <w:szCs w:val="22"/>
        </w:rPr>
        <w:t xml:space="preserve"> and their respective heirs</w:t>
      </w:r>
      <w:r w:rsidR="005B4CB3" w:rsidRPr="00705EE5">
        <w:rPr>
          <w:color w:val="353535"/>
          <w:sz w:val="22"/>
          <w:szCs w:val="22"/>
        </w:rPr>
        <w:t xml:space="preserve">, </w:t>
      </w:r>
      <w:r w:rsidR="005B4CB3" w:rsidRPr="00705EE5">
        <w:rPr>
          <w:color w:val="141414"/>
          <w:sz w:val="22"/>
          <w:szCs w:val="22"/>
        </w:rPr>
        <w:t>legal representatives, successors and assigns.</w:t>
      </w:r>
    </w:p>
    <w:p w14:paraId="730B6960" w14:textId="77777777" w:rsidR="005B4CB3" w:rsidRPr="00B55635" w:rsidRDefault="005B4CB3" w:rsidP="005B4CB3">
      <w:pPr>
        <w:autoSpaceDE w:val="0"/>
        <w:autoSpaceDN w:val="0"/>
        <w:adjustRightInd w:val="0"/>
        <w:jc w:val="both"/>
        <w:rPr>
          <w:sz w:val="22"/>
          <w:szCs w:val="22"/>
        </w:rPr>
      </w:pPr>
    </w:p>
    <w:p w14:paraId="17D67174" w14:textId="77777777" w:rsidR="00632A10" w:rsidRPr="00B55635" w:rsidRDefault="00632A10">
      <w:pPr>
        <w:rPr>
          <w:sz w:val="22"/>
          <w:szCs w:val="22"/>
        </w:rPr>
      </w:pPr>
    </w:p>
    <w:p w14:paraId="18CB2012" w14:textId="77777777" w:rsidR="00632A10" w:rsidRPr="00B55635" w:rsidRDefault="00632A10">
      <w:pPr>
        <w:rPr>
          <w:sz w:val="22"/>
          <w:szCs w:val="22"/>
        </w:rPr>
      </w:pPr>
    </w:p>
    <w:p w14:paraId="439A1D78" w14:textId="77777777" w:rsidR="00632A10" w:rsidRDefault="00632A10">
      <w:pPr>
        <w:rPr>
          <w:sz w:val="22"/>
          <w:szCs w:val="22"/>
        </w:rPr>
      </w:pPr>
    </w:p>
    <w:p w14:paraId="0A6950A6" w14:textId="77777777" w:rsidR="00632A10" w:rsidRDefault="00632A10">
      <w:pPr>
        <w:rPr>
          <w:sz w:val="22"/>
          <w:szCs w:val="22"/>
        </w:rPr>
      </w:pPr>
    </w:p>
    <w:p w14:paraId="0547B1CC" w14:textId="77777777" w:rsidR="00632A10" w:rsidRDefault="00632A10">
      <w:pPr>
        <w:rPr>
          <w:sz w:val="22"/>
          <w:szCs w:val="22"/>
        </w:rPr>
      </w:pPr>
    </w:p>
    <w:p w14:paraId="2A7C8925" w14:textId="77777777" w:rsidR="00632A10" w:rsidRPr="00632A10" w:rsidRDefault="00632A10" w:rsidP="00632A10">
      <w:pPr>
        <w:jc w:val="center"/>
        <w:rPr>
          <w:i/>
          <w:sz w:val="22"/>
          <w:szCs w:val="22"/>
        </w:rPr>
      </w:pPr>
      <w:r w:rsidRPr="00632A10">
        <w:rPr>
          <w:i/>
          <w:sz w:val="22"/>
          <w:szCs w:val="22"/>
        </w:rPr>
        <w:t>[Signature page follows]</w:t>
      </w:r>
      <w:r w:rsidRPr="00632A10">
        <w:rPr>
          <w:i/>
          <w:sz w:val="22"/>
          <w:szCs w:val="22"/>
        </w:rPr>
        <w:br w:type="page"/>
      </w:r>
    </w:p>
    <w:p w14:paraId="06A62677" w14:textId="77777777" w:rsidR="00095529" w:rsidRDefault="00095529" w:rsidP="005B4CB3">
      <w:pPr>
        <w:widowControl w:val="0"/>
        <w:jc w:val="both"/>
        <w:rPr>
          <w:sz w:val="22"/>
          <w:szCs w:val="22"/>
        </w:rPr>
      </w:pPr>
      <w:r w:rsidRPr="005B4CB3">
        <w:rPr>
          <w:sz w:val="22"/>
          <w:szCs w:val="22"/>
        </w:rPr>
        <w:lastRenderedPageBreak/>
        <w:tab/>
      </w:r>
      <w:r w:rsidR="00DB1A55" w:rsidRPr="005B4CB3">
        <w:rPr>
          <w:b/>
          <w:sz w:val="22"/>
          <w:szCs w:val="22"/>
        </w:rPr>
        <w:t>IN WITNESS WHEREOF</w:t>
      </w:r>
      <w:r w:rsidR="00DB1A55" w:rsidRPr="005B4CB3">
        <w:rPr>
          <w:sz w:val="22"/>
          <w:szCs w:val="22"/>
        </w:rPr>
        <w:t xml:space="preserve">, </w:t>
      </w:r>
      <w:r w:rsidR="00632A10">
        <w:rPr>
          <w:sz w:val="22"/>
          <w:szCs w:val="22"/>
        </w:rPr>
        <w:t xml:space="preserve">the </w:t>
      </w:r>
      <w:r w:rsidR="003372E0">
        <w:rPr>
          <w:sz w:val="22"/>
          <w:szCs w:val="22"/>
        </w:rPr>
        <w:t>p</w:t>
      </w:r>
      <w:r w:rsidR="00632A10">
        <w:rPr>
          <w:sz w:val="22"/>
          <w:szCs w:val="22"/>
        </w:rPr>
        <w:t>arties</w:t>
      </w:r>
      <w:r w:rsidR="0019016E" w:rsidRPr="005B4CB3">
        <w:rPr>
          <w:sz w:val="22"/>
          <w:szCs w:val="22"/>
        </w:rPr>
        <w:t xml:space="preserve"> ha</w:t>
      </w:r>
      <w:r w:rsidR="00632A10">
        <w:rPr>
          <w:sz w:val="22"/>
          <w:szCs w:val="22"/>
        </w:rPr>
        <w:t>ve</w:t>
      </w:r>
      <w:r w:rsidR="0019016E" w:rsidRPr="005B4CB3">
        <w:rPr>
          <w:sz w:val="22"/>
          <w:szCs w:val="22"/>
        </w:rPr>
        <w:t xml:space="preserve"> caused these presents to be executed on </w:t>
      </w:r>
      <w:r w:rsidR="00632A10">
        <w:rPr>
          <w:sz w:val="22"/>
          <w:szCs w:val="22"/>
        </w:rPr>
        <w:t>their</w:t>
      </w:r>
      <w:r w:rsidR="0019016E" w:rsidRPr="005B4CB3">
        <w:rPr>
          <w:sz w:val="22"/>
          <w:szCs w:val="22"/>
        </w:rPr>
        <w:t xml:space="preserve"> behalf by </w:t>
      </w:r>
      <w:r w:rsidR="00632A10">
        <w:rPr>
          <w:sz w:val="22"/>
          <w:szCs w:val="22"/>
        </w:rPr>
        <w:t>their</w:t>
      </w:r>
      <w:r w:rsidR="0019016E" w:rsidRPr="005B4CB3">
        <w:rPr>
          <w:sz w:val="22"/>
          <w:szCs w:val="22"/>
        </w:rPr>
        <w:t xml:space="preserve"> duly authorized </w:t>
      </w:r>
      <w:r w:rsidR="005B4CB3">
        <w:rPr>
          <w:sz w:val="22"/>
          <w:szCs w:val="22"/>
        </w:rPr>
        <w:t>representative</w:t>
      </w:r>
      <w:r w:rsidR="00632A10">
        <w:rPr>
          <w:sz w:val="22"/>
          <w:szCs w:val="22"/>
        </w:rPr>
        <w:t>s</w:t>
      </w:r>
      <w:r w:rsidR="0019016E" w:rsidRPr="005B4CB3">
        <w:rPr>
          <w:sz w:val="22"/>
          <w:szCs w:val="22"/>
        </w:rPr>
        <w:t>, the day and year above written.</w:t>
      </w:r>
    </w:p>
    <w:p w14:paraId="2F1E446D" w14:textId="77777777" w:rsidR="005B4CB3" w:rsidRPr="005B4CB3" w:rsidRDefault="005B4CB3" w:rsidP="005B4CB3">
      <w:pPr>
        <w:widowControl w:val="0"/>
        <w:jc w:val="both"/>
        <w:rPr>
          <w:sz w:val="22"/>
          <w:szCs w:val="22"/>
        </w:rPr>
      </w:pPr>
    </w:p>
    <w:p w14:paraId="3733CEFB" w14:textId="77777777" w:rsidR="00E164DE" w:rsidRPr="005B4CB3" w:rsidRDefault="00E164DE" w:rsidP="00283AC5">
      <w:pPr>
        <w:widowControl w:val="0"/>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5112"/>
      </w:tblGrid>
      <w:tr w:rsidR="00E164DE" w:rsidRPr="005B4CB3" w14:paraId="39193F3A" w14:textId="77777777" w:rsidTr="00486B6B">
        <w:tc>
          <w:tcPr>
            <w:tcW w:w="5148" w:type="dxa"/>
          </w:tcPr>
          <w:p w14:paraId="599854AA" w14:textId="77777777" w:rsidR="00E164DE" w:rsidRPr="005B4CB3" w:rsidRDefault="00E164DE" w:rsidP="00283AC5">
            <w:pPr>
              <w:widowControl w:val="0"/>
              <w:jc w:val="both"/>
              <w:rPr>
                <w:sz w:val="22"/>
                <w:szCs w:val="22"/>
              </w:rPr>
            </w:pPr>
            <w:r w:rsidRPr="005B4CB3">
              <w:rPr>
                <w:sz w:val="22"/>
                <w:szCs w:val="22"/>
              </w:rPr>
              <w:t>Signed, sealed and delivered in</w:t>
            </w:r>
          </w:p>
          <w:p w14:paraId="43F4E3A9" w14:textId="77777777" w:rsidR="00E164DE" w:rsidRPr="005B4CB3" w:rsidRDefault="00E164DE" w:rsidP="00283AC5">
            <w:pPr>
              <w:widowControl w:val="0"/>
              <w:jc w:val="both"/>
              <w:rPr>
                <w:sz w:val="22"/>
                <w:szCs w:val="22"/>
              </w:rPr>
            </w:pPr>
            <w:r w:rsidRPr="005B4CB3">
              <w:rPr>
                <w:sz w:val="22"/>
                <w:szCs w:val="22"/>
              </w:rPr>
              <w:t>the presence of:</w:t>
            </w:r>
          </w:p>
          <w:p w14:paraId="24CEA56F" w14:textId="77777777" w:rsidR="00BB794A" w:rsidRPr="005B4CB3" w:rsidRDefault="00BB794A" w:rsidP="00283AC5">
            <w:pPr>
              <w:widowControl w:val="0"/>
              <w:jc w:val="both"/>
              <w:rPr>
                <w:sz w:val="22"/>
                <w:szCs w:val="22"/>
              </w:rPr>
            </w:pPr>
          </w:p>
          <w:p w14:paraId="26AD6167" w14:textId="77777777" w:rsidR="00E164DE" w:rsidRPr="005B4CB3" w:rsidRDefault="00E164DE" w:rsidP="00283AC5">
            <w:pPr>
              <w:widowControl w:val="0"/>
              <w:jc w:val="both"/>
              <w:rPr>
                <w:sz w:val="22"/>
                <w:szCs w:val="22"/>
              </w:rPr>
            </w:pPr>
          </w:p>
          <w:p w14:paraId="647E6A3B" w14:textId="77777777" w:rsidR="00E164DE" w:rsidRPr="005B4CB3" w:rsidRDefault="00E164DE" w:rsidP="00283AC5">
            <w:pPr>
              <w:widowControl w:val="0"/>
              <w:jc w:val="both"/>
              <w:rPr>
                <w:sz w:val="22"/>
                <w:szCs w:val="22"/>
              </w:rPr>
            </w:pPr>
            <w:r w:rsidRPr="005B4CB3">
              <w:rPr>
                <w:sz w:val="22"/>
                <w:szCs w:val="22"/>
              </w:rPr>
              <w:t>_______________________________________</w:t>
            </w:r>
          </w:p>
          <w:p w14:paraId="60BE5404" w14:textId="77777777" w:rsidR="00E164DE" w:rsidRPr="005B4CB3" w:rsidRDefault="00E164DE" w:rsidP="00283AC5">
            <w:pPr>
              <w:widowControl w:val="0"/>
              <w:jc w:val="both"/>
              <w:rPr>
                <w:sz w:val="22"/>
                <w:szCs w:val="22"/>
              </w:rPr>
            </w:pPr>
            <w:r w:rsidRPr="005B4CB3">
              <w:rPr>
                <w:sz w:val="22"/>
                <w:szCs w:val="22"/>
              </w:rPr>
              <w:t>Witness</w:t>
            </w:r>
          </w:p>
          <w:p w14:paraId="00A9FD97" w14:textId="77777777" w:rsidR="00E164DE" w:rsidRPr="005B4CB3" w:rsidRDefault="00E164DE" w:rsidP="00283AC5">
            <w:pPr>
              <w:widowControl w:val="0"/>
              <w:jc w:val="both"/>
              <w:rPr>
                <w:sz w:val="22"/>
                <w:szCs w:val="22"/>
              </w:rPr>
            </w:pPr>
          </w:p>
          <w:p w14:paraId="14723F0F" w14:textId="77777777" w:rsidR="00BB794A" w:rsidRPr="005B4CB3" w:rsidRDefault="00BB794A" w:rsidP="00283AC5">
            <w:pPr>
              <w:widowControl w:val="0"/>
              <w:jc w:val="both"/>
              <w:rPr>
                <w:sz w:val="22"/>
                <w:szCs w:val="22"/>
              </w:rPr>
            </w:pPr>
          </w:p>
          <w:p w14:paraId="7DE9D493" w14:textId="77777777" w:rsidR="00E164DE" w:rsidRPr="005B4CB3" w:rsidRDefault="00E164DE" w:rsidP="00283AC5">
            <w:pPr>
              <w:widowControl w:val="0"/>
              <w:jc w:val="both"/>
              <w:rPr>
                <w:sz w:val="22"/>
                <w:szCs w:val="22"/>
              </w:rPr>
            </w:pPr>
            <w:r w:rsidRPr="005B4CB3">
              <w:rPr>
                <w:sz w:val="22"/>
                <w:szCs w:val="22"/>
              </w:rPr>
              <w:t>_______________________________________</w:t>
            </w:r>
          </w:p>
          <w:p w14:paraId="0E8D049A" w14:textId="77777777" w:rsidR="00E164DE" w:rsidRPr="005B4CB3" w:rsidRDefault="00E164DE" w:rsidP="00283AC5">
            <w:pPr>
              <w:widowControl w:val="0"/>
              <w:jc w:val="both"/>
              <w:rPr>
                <w:sz w:val="22"/>
                <w:szCs w:val="22"/>
              </w:rPr>
            </w:pPr>
            <w:r w:rsidRPr="005B4CB3">
              <w:rPr>
                <w:sz w:val="22"/>
                <w:szCs w:val="22"/>
              </w:rPr>
              <w:t xml:space="preserve">Notary Public </w:t>
            </w:r>
          </w:p>
        </w:tc>
        <w:tc>
          <w:tcPr>
            <w:tcW w:w="5148" w:type="dxa"/>
          </w:tcPr>
          <w:p w14:paraId="52F6471C" w14:textId="77777777" w:rsidR="00BB794A" w:rsidRPr="005B4CB3" w:rsidRDefault="00BB794A" w:rsidP="00283AC5">
            <w:pPr>
              <w:widowControl w:val="0"/>
              <w:jc w:val="both"/>
              <w:rPr>
                <w:b/>
                <w:sz w:val="22"/>
                <w:szCs w:val="22"/>
              </w:rPr>
            </w:pPr>
            <w:r w:rsidRPr="005B4CB3">
              <w:rPr>
                <w:b/>
                <w:sz w:val="22"/>
                <w:szCs w:val="22"/>
              </w:rPr>
              <w:t>MAYOR AND ALDERMAN OF</w:t>
            </w:r>
          </w:p>
          <w:p w14:paraId="4D12DBBB" w14:textId="77777777" w:rsidR="00E164DE" w:rsidRPr="005B4CB3" w:rsidRDefault="00BB794A" w:rsidP="00283AC5">
            <w:pPr>
              <w:widowControl w:val="0"/>
              <w:jc w:val="both"/>
              <w:rPr>
                <w:sz w:val="22"/>
                <w:szCs w:val="22"/>
              </w:rPr>
            </w:pPr>
            <w:r w:rsidRPr="005B4CB3">
              <w:rPr>
                <w:b/>
                <w:sz w:val="22"/>
                <w:szCs w:val="22"/>
              </w:rPr>
              <w:t>THE CITY OF SAVANNAH</w:t>
            </w:r>
          </w:p>
          <w:p w14:paraId="6784779D" w14:textId="77777777" w:rsidR="00E164DE" w:rsidRPr="005B4CB3" w:rsidRDefault="00E164DE" w:rsidP="00283AC5">
            <w:pPr>
              <w:widowControl w:val="0"/>
              <w:jc w:val="both"/>
              <w:rPr>
                <w:sz w:val="22"/>
                <w:szCs w:val="22"/>
              </w:rPr>
            </w:pPr>
          </w:p>
          <w:p w14:paraId="5FEDA457" w14:textId="77777777" w:rsidR="00E164DE" w:rsidRPr="005B4CB3" w:rsidRDefault="00E164DE" w:rsidP="00283AC5">
            <w:pPr>
              <w:widowControl w:val="0"/>
              <w:jc w:val="both"/>
              <w:rPr>
                <w:sz w:val="22"/>
                <w:szCs w:val="22"/>
              </w:rPr>
            </w:pPr>
          </w:p>
          <w:p w14:paraId="3AC6836F" w14:textId="77777777" w:rsidR="00E164DE" w:rsidRPr="005B4CB3" w:rsidRDefault="00E164DE" w:rsidP="00283AC5">
            <w:pPr>
              <w:widowControl w:val="0"/>
              <w:jc w:val="both"/>
              <w:rPr>
                <w:sz w:val="22"/>
                <w:szCs w:val="22"/>
              </w:rPr>
            </w:pPr>
            <w:r w:rsidRPr="005B4CB3">
              <w:rPr>
                <w:sz w:val="22"/>
                <w:szCs w:val="22"/>
              </w:rPr>
              <w:t>_______________________________________(L.S.)</w:t>
            </w:r>
          </w:p>
          <w:p w14:paraId="6CAD0D64" w14:textId="77777777" w:rsidR="00E164DE" w:rsidRPr="005B4CB3" w:rsidRDefault="0019016E" w:rsidP="00283AC5">
            <w:pPr>
              <w:widowControl w:val="0"/>
              <w:jc w:val="both"/>
              <w:rPr>
                <w:sz w:val="22"/>
                <w:szCs w:val="22"/>
              </w:rPr>
            </w:pPr>
            <w:r w:rsidRPr="005B4CB3">
              <w:rPr>
                <w:sz w:val="22"/>
                <w:szCs w:val="22"/>
              </w:rPr>
              <w:t xml:space="preserve">By: </w:t>
            </w:r>
          </w:p>
          <w:p w14:paraId="45E7ADE3" w14:textId="77777777" w:rsidR="00E164DE" w:rsidRPr="005B4CB3" w:rsidRDefault="00E164DE" w:rsidP="00E164DE">
            <w:pPr>
              <w:widowControl w:val="0"/>
              <w:jc w:val="both"/>
              <w:rPr>
                <w:sz w:val="22"/>
                <w:szCs w:val="22"/>
              </w:rPr>
            </w:pPr>
          </w:p>
          <w:p w14:paraId="6406C158" w14:textId="77777777" w:rsidR="00BB794A" w:rsidRPr="005B4CB3" w:rsidRDefault="00BB794A" w:rsidP="00E164DE">
            <w:pPr>
              <w:widowControl w:val="0"/>
              <w:jc w:val="both"/>
              <w:rPr>
                <w:sz w:val="22"/>
                <w:szCs w:val="22"/>
              </w:rPr>
            </w:pPr>
          </w:p>
          <w:p w14:paraId="72342BAD" w14:textId="77777777" w:rsidR="00BB794A" w:rsidRPr="005B4CB3" w:rsidRDefault="00BB794A" w:rsidP="00BB794A">
            <w:pPr>
              <w:widowControl w:val="0"/>
              <w:jc w:val="both"/>
              <w:rPr>
                <w:sz w:val="22"/>
                <w:szCs w:val="22"/>
              </w:rPr>
            </w:pPr>
            <w:r w:rsidRPr="005B4CB3">
              <w:rPr>
                <w:sz w:val="22"/>
                <w:szCs w:val="22"/>
              </w:rPr>
              <w:t>_______________________________________(L.S.)</w:t>
            </w:r>
          </w:p>
          <w:p w14:paraId="567C7C77" w14:textId="77777777" w:rsidR="00BB794A" w:rsidRPr="005B4CB3" w:rsidRDefault="00BB794A" w:rsidP="00BB794A">
            <w:pPr>
              <w:widowControl w:val="0"/>
              <w:jc w:val="both"/>
              <w:rPr>
                <w:sz w:val="22"/>
                <w:szCs w:val="22"/>
              </w:rPr>
            </w:pPr>
            <w:r w:rsidRPr="005B4CB3">
              <w:rPr>
                <w:sz w:val="22"/>
                <w:szCs w:val="22"/>
              </w:rPr>
              <w:t xml:space="preserve">Attest: </w:t>
            </w:r>
          </w:p>
          <w:p w14:paraId="00BFBB60" w14:textId="77777777" w:rsidR="00BB794A" w:rsidRPr="005B4CB3" w:rsidRDefault="00BB794A" w:rsidP="00E164DE">
            <w:pPr>
              <w:widowControl w:val="0"/>
              <w:jc w:val="both"/>
              <w:rPr>
                <w:sz w:val="22"/>
                <w:szCs w:val="22"/>
              </w:rPr>
            </w:pPr>
          </w:p>
          <w:p w14:paraId="5683F2B1" w14:textId="77777777" w:rsidR="00E164DE" w:rsidRPr="005B4CB3" w:rsidRDefault="00E164DE" w:rsidP="00283AC5">
            <w:pPr>
              <w:widowControl w:val="0"/>
              <w:jc w:val="both"/>
              <w:rPr>
                <w:sz w:val="22"/>
                <w:szCs w:val="22"/>
              </w:rPr>
            </w:pPr>
          </w:p>
          <w:p w14:paraId="1F025F93" w14:textId="77777777" w:rsidR="00E164DE" w:rsidRPr="005B4CB3" w:rsidRDefault="00E164DE" w:rsidP="00283AC5">
            <w:pPr>
              <w:widowControl w:val="0"/>
              <w:jc w:val="both"/>
              <w:rPr>
                <w:b/>
                <w:sz w:val="22"/>
                <w:szCs w:val="22"/>
              </w:rPr>
            </w:pPr>
          </w:p>
        </w:tc>
      </w:tr>
    </w:tbl>
    <w:p w14:paraId="189B7016" w14:textId="77777777" w:rsidR="0019016E" w:rsidRDefault="0019016E" w:rsidP="00283AC5">
      <w:pPr>
        <w:widowControl w:val="0"/>
        <w:jc w:val="both"/>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5112"/>
      </w:tblGrid>
      <w:tr w:rsidR="00D443E1" w:rsidRPr="005B4CB3" w14:paraId="21057597" w14:textId="77777777" w:rsidTr="003A248F">
        <w:tc>
          <w:tcPr>
            <w:tcW w:w="5148" w:type="dxa"/>
          </w:tcPr>
          <w:p w14:paraId="1E27B191" w14:textId="77777777" w:rsidR="00D443E1" w:rsidRPr="005B4CB3" w:rsidRDefault="00D443E1" w:rsidP="003A248F">
            <w:pPr>
              <w:widowControl w:val="0"/>
              <w:jc w:val="both"/>
              <w:rPr>
                <w:sz w:val="22"/>
                <w:szCs w:val="22"/>
              </w:rPr>
            </w:pPr>
            <w:r w:rsidRPr="005B4CB3">
              <w:rPr>
                <w:sz w:val="22"/>
                <w:szCs w:val="22"/>
              </w:rPr>
              <w:t>Signed, sealed and delivered in</w:t>
            </w:r>
          </w:p>
          <w:p w14:paraId="73D3DCA4" w14:textId="77777777" w:rsidR="00D443E1" w:rsidRPr="005B4CB3" w:rsidRDefault="00D443E1" w:rsidP="003A248F">
            <w:pPr>
              <w:widowControl w:val="0"/>
              <w:jc w:val="both"/>
              <w:rPr>
                <w:sz w:val="22"/>
                <w:szCs w:val="22"/>
              </w:rPr>
            </w:pPr>
            <w:r w:rsidRPr="005B4CB3">
              <w:rPr>
                <w:sz w:val="22"/>
                <w:szCs w:val="22"/>
              </w:rPr>
              <w:t>the presence of:</w:t>
            </w:r>
          </w:p>
          <w:p w14:paraId="21C47F09" w14:textId="77777777" w:rsidR="00D443E1" w:rsidRPr="005B4CB3" w:rsidRDefault="00D443E1" w:rsidP="003A248F">
            <w:pPr>
              <w:widowControl w:val="0"/>
              <w:jc w:val="both"/>
              <w:rPr>
                <w:sz w:val="22"/>
                <w:szCs w:val="22"/>
              </w:rPr>
            </w:pPr>
          </w:p>
          <w:p w14:paraId="0A4A2EB3" w14:textId="77777777" w:rsidR="00D443E1" w:rsidRPr="005B4CB3" w:rsidRDefault="00D443E1" w:rsidP="003A248F">
            <w:pPr>
              <w:widowControl w:val="0"/>
              <w:jc w:val="both"/>
              <w:rPr>
                <w:sz w:val="22"/>
                <w:szCs w:val="22"/>
              </w:rPr>
            </w:pPr>
          </w:p>
          <w:p w14:paraId="5AEE45DE" w14:textId="77777777" w:rsidR="00D443E1" w:rsidRPr="005B4CB3" w:rsidRDefault="00D443E1" w:rsidP="003A248F">
            <w:pPr>
              <w:widowControl w:val="0"/>
              <w:jc w:val="both"/>
              <w:rPr>
                <w:sz w:val="22"/>
                <w:szCs w:val="22"/>
              </w:rPr>
            </w:pPr>
            <w:r w:rsidRPr="005B4CB3">
              <w:rPr>
                <w:sz w:val="22"/>
                <w:szCs w:val="22"/>
              </w:rPr>
              <w:t>_______________________________________</w:t>
            </w:r>
          </w:p>
          <w:p w14:paraId="01FB4260" w14:textId="77777777" w:rsidR="00D443E1" w:rsidRPr="005B4CB3" w:rsidRDefault="00D443E1" w:rsidP="003A248F">
            <w:pPr>
              <w:widowControl w:val="0"/>
              <w:jc w:val="both"/>
              <w:rPr>
                <w:sz w:val="22"/>
                <w:szCs w:val="22"/>
              </w:rPr>
            </w:pPr>
            <w:r w:rsidRPr="005B4CB3">
              <w:rPr>
                <w:sz w:val="22"/>
                <w:szCs w:val="22"/>
              </w:rPr>
              <w:t>Witness</w:t>
            </w:r>
          </w:p>
          <w:p w14:paraId="1F2DFF7F" w14:textId="77777777" w:rsidR="00D443E1" w:rsidRPr="005B4CB3" w:rsidRDefault="00D443E1" w:rsidP="003A248F">
            <w:pPr>
              <w:widowControl w:val="0"/>
              <w:jc w:val="both"/>
              <w:rPr>
                <w:sz w:val="22"/>
                <w:szCs w:val="22"/>
              </w:rPr>
            </w:pPr>
          </w:p>
          <w:p w14:paraId="42AF5B78" w14:textId="77777777" w:rsidR="00D443E1" w:rsidRPr="005B4CB3" w:rsidRDefault="00D443E1" w:rsidP="003A248F">
            <w:pPr>
              <w:widowControl w:val="0"/>
              <w:jc w:val="both"/>
              <w:rPr>
                <w:sz w:val="22"/>
                <w:szCs w:val="22"/>
              </w:rPr>
            </w:pPr>
          </w:p>
          <w:p w14:paraId="5C54DB24" w14:textId="77777777" w:rsidR="00D443E1" w:rsidRPr="005B4CB3" w:rsidRDefault="00D443E1" w:rsidP="003A248F">
            <w:pPr>
              <w:widowControl w:val="0"/>
              <w:jc w:val="both"/>
              <w:rPr>
                <w:sz w:val="22"/>
                <w:szCs w:val="22"/>
              </w:rPr>
            </w:pPr>
            <w:r w:rsidRPr="005B4CB3">
              <w:rPr>
                <w:sz w:val="22"/>
                <w:szCs w:val="22"/>
              </w:rPr>
              <w:t>_______________________________________</w:t>
            </w:r>
          </w:p>
          <w:p w14:paraId="3E67D808" w14:textId="77777777" w:rsidR="00D443E1" w:rsidRPr="005B4CB3" w:rsidRDefault="00D443E1" w:rsidP="003A248F">
            <w:pPr>
              <w:widowControl w:val="0"/>
              <w:jc w:val="both"/>
              <w:rPr>
                <w:sz w:val="22"/>
                <w:szCs w:val="22"/>
              </w:rPr>
            </w:pPr>
            <w:r w:rsidRPr="005B4CB3">
              <w:rPr>
                <w:sz w:val="22"/>
                <w:szCs w:val="22"/>
              </w:rPr>
              <w:t xml:space="preserve">Notary Public </w:t>
            </w:r>
          </w:p>
        </w:tc>
        <w:tc>
          <w:tcPr>
            <w:tcW w:w="5148" w:type="dxa"/>
          </w:tcPr>
          <w:p w14:paraId="30D79096" w14:textId="77777777" w:rsidR="00D443E1" w:rsidRDefault="00D443E1" w:rsidP="003A248F">
            <w:pPr>
              <w:widowControl w:val="0"/>
              <w:jc w:val="both"/>
              <w:rPr>
                <w:b/>
                <w:sz w:val="22"/>
                <w:szCs w:val="22"/>
              </w:rPr>
            </w:pPr>
            <w:r>
              <w:rPr>
                <w:b/>
                <w:sz w:val="22"/>
                <w:szCs w:val="22"/>
              </w:rPr>
              <w:t>GRANTEE</w:t>
            </w:r>
          </w:p>
          <w:p w14:paraId="58D290A0" w14:textId="77777777" w:rsidR="00D443E1" w:rsidRPr="005B4CB3" w:rsidRDefault="00D443E1" w:rsidP="003A248F">
            <w:pPr>
              <w:widowControl w:val="0"/>
              <w:jc w:val="both"/>
              <w:rPr>
                <w:sz w:val="22"/>
                <w:szCs w:val="22"/>
              </w:rPr>
            </w:pPr>
          </w:p>
          <w:p w14:paraId="21032491" w14:textId="77777777" w:rsidR="00D443E1" w:rsidRPr="005B4CB3" w:rsidRDefault="00D443E1" w:rsidP="003A248F">
            <w:pPr>
              <w:widowControl w:val="0"/>
              <w:jc w:val="both"/>
              <w:rPr>
                <w:sz w:val="22"/>
                <w:szCs w:val="22"/>
              </w:rPr>
            </w:pPr>
          </w:p>
          <w:p w14:paraId="109E8B5F" w14:textId="77777777" w:rsidR="00D443E1" w:rsidRPr="005B4CB3" w:rsidRDefault="00D443E1" w:rsidP="003A248F">
            <w:pPr>
              <w:widowControl w:val="0"/>
              <w:jc w:val="both"/>
              <w:rPr>
                <w:sz w:val="22"/>
                <w:szCs w:val="22"/>
              </w:rPr>
            </w:pPr>
          </w:p>
          <w:p w14:paraId="2D5573EF" w14:textId="77777777" w:rsidR="00D443E1" w:rsidRPr="005B4CB3" w:rsidRDefault="00D443E1" w:rsidP="003A248F">
            <w:pPr>
              <w:widowControl w:val="0"/>
              <w:jc w:val="both"/>
              <w:rPr>
                <w:sz w:val="22"/>
                <w:szCs w:val="22"/>
              </w:rPr>
            </w:pPr>
            <w:r w:rsidRPr="005B4CB3">
              <w:rPr>
                <w:sz w:val="22"/>
                <w:szCs w:val="22"/>
              </w:rPr>
              <w:t>_______________________________________(L.S.)</w:t>
            </w:r>
          </w:p>
          <w:p w14:paraId="424D690C" w14:textId="77777777" w:rsidR="00D443E1" w:rsidRPr="005B4CB3" w:rsidRDefault="00D443E1" w:rsidP="003A248F">
            <w:pPr>
              <w:widowControl w:val="0"/>
              <w:jc w:val="both"/>
              <w:rPr>
                <w:sz w:val="22"/>
                <w:szCs w:val="22"/>
              </w:rPr>
            </w:pPr>
            <w:r>
              <w:rPr>
                <w:sz w:val="22"/>
                <w:szCs w:val="22"/>
              </w:rPr>
              <w:t>Joseph Franklin Monroe</w:t>
            </w:r>
            <w:r w:rsidRPr="005B4CB3">
              <w:rPr>
                <w:sz w:val="22"/>
                <w:szCs w:val="22"/>
              </w:rPr>
              <w:t xml:space="preserve"> </w:t>
            </w:r>
          </w:p>
          <w:p w14:paraId="2EC3C74E" w14:textId="77777777" w:rsidR="00D443E1" w:rsidRPr="005B4CB3" w:rsidRDefault="00D443E1" w:rsidP="003A248F">
            <w:pPr>
              <w:widowControl w:val="0"/>
              <w:jc w:val="both"/>
              <w:rPr>
                <w:sz w:val="22"/>
                <w:szCs w:val="22"/>
              </w:rPr>
            </w:pPr>
          </w:p>
          <w:p w14:paraId="27C1BBED" w14:textId="77777777" w:rsidR="00D443E1" w:rsidRPr="005B4CB3" w:rsidRDefault="00D443E1" w:rsidP="003A248F">
            <w:pPr>
              <w:widowControl w:val="0"/>
              <w:jc w:val="both"/>
              <w:rPr>
                <w:sz w:val="22"/>
                <w:szCs w:val="22"/>
              </w:rPr>
            </w:pPr>
          </w:p>
          <w:p w14:paraId="4E533C9A" w14:textId="77777777" w:rsidR="00D443E1" w:rsidRPr="005B4CB3" w:rsidRDefault="00D443E1" w:rsidP="00D443E1">
            <w:pPr>
              <w:widowControl w:val="0"/>
              <w:jc w:val="both"/>
              <w:rPr>
                <w:sz w:val="22"/>
                <w:szCs w:val="22"/>
              </w:rPr>
            </w:pPr>
          </w:p>
          <w:p w14:paraId="6A48C10D" w14:textId="77777777" w:rsidR="00D443E1" w:rsidRPr="005B4CB3" w:rsidRDefault="00D443E1" w:rsidP="003A248F">
            <w:pPr>
              <w:widowControl w:val="0"/>
              <w:jc w:val="both"/>
              <w:rPr>
                <w:sz w:val="22"/>
                <w:szCs w:val="22"/>
              </w:rPr>
            </w:pPr>
            <w:r w:rsidRPr="005B4CB3">
              <w:rPr>
                <w:sz w:val="22"/>
                <w:szCs w:val="22"/>
              </w:rPr>
              <w:t xml:space="preserve"> </w:t>
            </w:r>
          </w:p>
          <w:p w14:paraId="0422F927" w14:textId="77777777" w:rsidR="00D443E1" w:rsidRPr="005B4CB3" w:rsidRDefault="00D443E1" w:rsidP="003A248F">
            <w:pPr>
              <w:widowControl w:val="0"/>
              <w:jc w:val="both"/>
              <w:rPr>
                <w:sz w:val="22"/>
                <w:szCs w:val="22"/>
              </w:rPr>
            </w:pPr>
          </w:p>
          <w:p w14:paraId="4CBCF016" w14:textId="77777777" w:rsidR="00D443E1" w:rsidRPr="005B4CB3" w:rsidRDefault="00D443E1" w:rsidP="003A248F">
            <w:pPr>
              <w:widowControl w:val="0"/>
              <w:jc w:val="both"/>
              <w:rPr>
                <w:sz w:val="22"/>
                <w:szCs w:val="22"/>
              </w:rPr>
            </w:pPr>
          </w:p>
          <w:p w14:paraId="07534833" w14:textId="77777777" w:rsidR="00D443E1" w:rsidRPr="005B4CB3" w:rsidRDefault="00D443E1" w:rsidP="003A248F">
            <w:pPr>
              <w:widowControl w:val="0"/>
              <w:jc w:val="both"/>
              <w:rPr>
                <w:b/>
                <w:sz w:val="22"/>
                <w:szCs w:val="22"/>
              </w:rPr>
            </w:pPr>
          </w:p>
        </w:tc>
      </w:tr>
    </w:tbl>
    <w:p w14:paraId="697CEA02" w14:textId="77777777" w:rsidR="0019016E" w:rsidRDefault="0019016E">
      <w:pPr>
        <w:rPr>
          <w:sz w:val="22"/>
        </w:rPr>
      </w:pPr>
      <w:r>
        <w:rPr>
          <w:sz w:val="22"/>
        </w:rPr>
        <w:br w:type="page"/>
      </w:r>
    </w:p>
    <w:p w14:paraId="782A4BDB" w14:textId="77777777" w:rsidR="00095529" w:rsidRPr="002546F3" w:rsidRDefault="002546F3" w:rsidP="0019016E">
      <w:pPr>
        <w:widowControl w:val="0"/>
        <w:jc w:val="center"/>
        <w:rPr>
          <w:b/>
          <w:sz w:val="22"/>
          <w:szCs w:val="22"/>
        </w:rPr>
      </w:pPr>
      <w:r w:rsidRPr="002546F3">
        <w:rPr>
          <w:b/>
          <w:sz w:val="22"/>
          <w:szCs w:val="22"/>
        </w:rPr>
        <w:lastRenderedPageBreak/>
        <w:t>EXHIBIT “A”</w:t>
      </w:r>
    </w:p>
    <w:p w14:paraId="09ACF770" w14:textId="77777777" w:rsidR="0019016E" w:rsidRDefault="0019016E" w:rsidP="0019016E">
      <w:pPr>
        <w:widowControl w:val="0"/>
        <w:jc w:val="center"/>
        <w:rPr>
          <w:b/>
          <w:sz w:val="22"/>
          <w:szCs w:val="22"/>
        </w:rPr>
      </w:pPr>
    </w:p>
    <w:p w14:paraId="4B9D464C" w14:textId="77777777" w:rsidR="0073510B" w:rsidRPr="002546F3" w:rsidRDefault="0073510B" w:rsidP="0019016E">
      <w:pPr>
        <w:widowControl w:val="0"/>
        <w:jc w:val="center"/>
        <w:rPr>
          <w:b/>
          <w:sz w:val="22"/>
          <w:szCs w:val="22"/>
        </w:rPr>
      </w:pPr>
      <w:r>
        <w:rPr>
          <w:b/>
          <w:sz w:val="22"/>
          <w:szCs w:val="22"/>
        </w:rPr>
        <w:t>Canal Property</w:t>
      </w:r>
    </w:p>
    <w:p w14:paraId="6B9EBDCE" w14:textId="77777777" w:rsidR="0019016E" w:rsidRPr="002546F3" w:rsidRDefault="0019016E" w:rsidP="0019016E">
      <w:pPr>
        <w:widowControl w:val="0"/>
        <w:jc w:val="center"/>
        <w:rPr>
          <w:b/>
          <w:sz w:val="22"/>
          <w:szCs w:val="22"/>
        </w:rPr>
      </w:pPr>
    </w:p>
    <w:p w14:paraId="43E46CC4" w14:textId="418D4DD5" w:rsidR="0073510B" w:rsidRDefault="0073510B" w:rsidP="0073510B">
      <w:pPr>
        <w:widowControl w:val="0"/>
        <w:ind w:left="720" w:right="720"/>
        <w:jc w:val="both"/>
        <w:rPr>
          <w:sz w:val="22"/>
          <w:szCs w:val="22"/>
        </w:rPr>
      </w:pPr>
      <w:r w:rsidRPr="0073510B">
        <w:rPr>
          <w:sz w:val="22"/>
          <w:szCs w:val="22"/>
        </w:rPr>
        <w:t>All that land lying and being in the County</w:t>
      </w:r>
      <w:r>
        <w:rPr>
          <w:sz w:val="22"/>
          <w:szCs w:val="22"/>
        </w:rPr>
        <w:t xml:space="preserve"> </w:t>
      </w:r>
      <w:r w:rsidR="00CA650E">
        <w:rPr>
          <w:sz w:val="22"/>
          <w:szCs w:val="22"/>
        </w:rPr>
        <w:t>of Chatham and S</w:t>
      </w:r>
      <w:r w:rsidRPr="0073510B">
        <w:rPr>
          <w:sz w:val="22"/>
          <w:szCs w:val="22"/>
        </w:rPr>
        <w:t>tate of Georgia and described</w:t>
      </w:r>
      <w:r>
        <w:rPr>
          <w:sz w:val="22"/>
          <w:szCs w:val="22"/>
        </w:rPr>
        <w:t xml:space="preserve"> </w:t>
      </w:r>
      <w:r w:rsidRPr="0073510B">
        <w:rPr>
          <w:sz w:val="22"/>
          <w:szCs w:val="22"/>
        </w:rPr>
        <w:t>as follows: Beginning at the right-of-way of</w:t>
      </w:r>
      <w:r>
        <w:rPr>
          <w:sz w:val="22"/>
          <w:szCs w:val="22"/>
        </w:rPr>
        <w:t xml:space="preserve"> </w:t>
      </w:r>
      <w:r w:rsidRPr="0073510B">
        <w:rPr>
          <w:sz w:val="22"/>
          <w:szCs w:val="22"/>
        </w:rPr>
        <w:t>the Savannah &amp; Ogeechee Canal, extending from</w:t>
      </w:r>
      <w:r>
        <w:rPr>
          <w:sz w:val="22"/>
          <w:szCs w:val="22"/>
        </w:rPr>
        <w:t xml:space="preserve"> </w:t>
      </w:r>
      <w:r w:rsidRPr="0073510B">
        <w:rPr>
          <w:sz w:val="22"/>
          <w:szCs w:val="22"/>
        </w:rPr>
        <w:t>the Northeastern line of Canal Lot number</w:t>
      </w:r>
      <w:r>
        <w:rPr>
          <w:sz w:val="22"/>
          <w:szCs w:val="22"/>
        </w:rPr>
        <w:t xml:space="preserve"> </w:t>
      </w:r>
      <w:r w:rsidRPr="0073510B">
        <w:rPr>
          <w:sz w:val="22"/>
          <w:szCs w:val="22"/>
        </w:rPr>
        <w:t>Four (4) of the City of Savannah on the North</w:t>
      </w:r>
      <w:r>
        <w:rPr>
          <w:sz w:val="22"/>
          <w:szCs w:val="22"/>
        </w:rPr>
        <w:t xml:space="preserve"> </w:t>
      </w:r>
      <w:r w:rsidRPr="0073510B">
        <w:rPr>
          <w:sz w:val="22"/>
          <w:szCs w:val="22"/>
        </w:rPr>
        <w:t>and East to the Western terminus of the canal</w:t>
      </w:r>
      <w:r>
        <w:rPr>
          <w:sz w:val="22"/>
          <w:szCs w:val="22"/>
        </w:rPr>
        <w:t xml:space="preserve"> </w:t>
      </w:r>
      <w:r w:rsidRPr="0073510B">
        <w:rPr>
          <w:sz w:val="22"/>
          <w:szCs w:val="22"/>
        </w:rPr>
        <w:t>on the Ogeechee River on the West, as shown</w:t>
      </w:r>
      <w:r>
        <w:rPr>
          <w:sz w:val="22"/>
          <w:szCs w:val="22"/>
        </w:rPr>
        <w:t xml:space="preserve"> </w:t>
      </w:r>
      <w:r w:rsidRPr="0073510B">
        <w:rPr>
          <w:sz w:val="22"/>
          <w:szCs w:val="22"/>
        </w:rPr>
        <w:t>upon a map of same made by W. O'D. Rockwell,</w:t>
      </w:r>
      <w:r>
        <w:rPr>
          <w:sz w:val="22"/>
          <w:szCs w:val="22"/>
        </w:rPr>
        <w:t xml:space="preserve"> </w:t>
      </w:r>
      <w:r w:rsidRPr="0073510B">
        <w:rPr>
          <w:sz w:val="22"/>
          <w:szCs w:val="22"/>
        </w:rPr>
        <w:t>Assistant Chief Engineer of the City of</w:t>
      </w:r>
      <w:r>
        <w:rPr>
          <w:sz w:val="22"/>
          <w:szCs w:val="22"/>
        </w:rPr>
        <w:t xml:space="preserve"> </w:t>
      </w:r>
      <w:r w:rsidR="000605F8" w:rsidRPr="0073510B">
        <w:rPr>
          <w:sz w:val="22"/>
          <w:szCs w:val="22"/>
        </w:rPr>
        <w:t>Savannah,</w:t>
      </w:r>
      <w:r w:rsidRPr="0073510B">
        <w:rPr>
          <w:sz w:val="22"/>
          <w:szCs w:val="22"/>
        </w:rPr>
        <w:t xml:space="preserve"> and dated November 15, 1915,</w:t>
      </w:r>
      <w:r>
        <w:rPr>
          <w:sz w:val="22"/>
          <w:szCs w:val="22"/>
        </w:rPr>
        <w:t xml:space="preserve"> </w:t>
      </w:r>
      <w:r w:rsidRPr="0073510B">
        <w:rPr>
          <w:sz w:val="22"/>
          <w:szCs w:val="22"/>
        </w:rPr>
        <w:t>(Exhibit "B" to Deed) recorded in the Office</w:t>
      </w:r>
      <w:r>
        <w:rPr>
          <w:sz w:val="22"/>
          <w:szCs w:val="22"/>
        </w:rPr>
        <w:t xml:space="preserve"> </w:t>
      </w:r>
      <w:r w:rsidRPr="0073510B">
        <w:rPr>
          <w:sz w:val="22"/>
          <w:szCs w:val="22"/>
        </w:rPr>
        <w:t>of the Clerk of Superior Court of Chatham</w:t>
      </w:r>
      <w:r>
        <w:rPr>
          <w:sz w:val="22"/>
          <w:szCs w:val="22"/>
        </w:rPr>
        <w:t xml:space="preserve"> </w:t>
      </w:r>
      <w:r w:rsidRPr="0073510B">
        <w:rPr>
          <w:sz w:val="22"/>
          <w:szCs w:val="22"/>
        </w:rPr>
        <w:t xml:space="preserve">County, Georgia, dated 13th </w:t>
      </w:r>
      <w:r w:rsidR="000605F8" w:rsidRPr="0073510B">
        <w:rPr>
          <w:sz w:val="22"/>
          <w:szCs w:val="22"/>
        </w:rPr>
        <w:t>September</w:t>
      </w:r>
      <w:r w:rsidRPr="0073510B">
        <w:rPr>
          <w:sz w:val="22"/>
          <w:szCs w:val="22"/>
        </w:rPr>
        <w:t xml:space="preserve"> 1916,</w:t>
      </w:r>
      <w:r>
        <w:rPr>
          <w:sz w:val="22"/>
          <w:szCs w:val="22"/>
        </w:rPr>
        <w:t xml:space="preserve"> </w:t>
      </w:r>
      <w:r w:rsidRPr="0073510B">
        <w:rPr>
          <w:sz w:val="22"/>
          <w:szCs w:val="22"/>
        </w:rPr>
        <w:t xml:space="preserve">Deed Record Book 12-W, Folio </w:t>
      </w:r>
      <w:r>
        <w:rPr>
          <w:sz w:val="22"/>
          <w:szCs w:val="22"/>
        </w:rPr>
        <w:t>371</w:t>
      </w:r>
      <w:r w:rsidRPr="0073510B">
        <w:rPr>
          <w:sz w:val="22"/>
          <w:szCs w:val="22"/>
        </w:rPr>
        <w:t>.</w:t>
      </w:r>
    </w:p>
    <w:p w14:paraId="2D2D6875" w14:textId="77777777" w:rsidR="0073510B" w:rsidRPr="0073510B" w:rsidRDefault="0073510B" w:rsidP="0073510B">
      <w:pPr>
        <w:widowControl w:val="0"/>
        <w:ind w:left="720" w:right="720"/>
        <w:jc w:val="both"/>
        <w:rPr>
          <w:sz w:val="22"/>
          <w:szCs w:val="22"/>
        </w:rPr>
      </w:pPr>
    </w:p>
    <w:p w14:paraId="420D0E65" w14:textId="5D7DCF36" w:rsidR="0073510B" w:rsidRDefault="0073510B" w:rsidP="0073510B">
      <w:pPr>
        <w:widowControl w:val="0"/>
        <w:ind w:left="720" w:right="720"/>
        <w:jc w:val="both"/>
        <w:rPr>
          <w:sz w:val="22"/>
          <w:szCs w:val="22"/>
        </w:rPr>
      </w:pPr>
      <w:r w:rsidRPr="0073510B">
        <w:rPr>
          <w:sz w:val="22"/>
          <w:szCs w:val="22"/>
        </w:rPr>
        <w:t>LESS AND EXCEPT that portion of Savannah &amp;</w:t>
      </w:r>
      <w:r>
        <w:rPr>
          <w:sz w:val="22"/>
          <w:szCs w:val="22"/>
        </w:rPr>
        <w:t xml:space="preserve"> </w:t>
      </w:r>
      <w:r w:rsidRPr="0073510B">
        <w:rPr>
          <w:sz w:val="22"/>
          <w:szCs w:val="22"/>
        </w:rPr>
        <w:t>Ogeechee Canal conveyed by the Mayor and</w:t>
      </w:r>
      <w:r>
        <w:rPr>
          <w:sz w:val="22"/>
          <w:szCs w:val="22"/>
        </w:rPr>
        <w:t xml:space="preserve"> </w:t>
      </w:r>
      <w:r w:rsidRPr="0073510B">
        <w:rPr>
          <w:sz w:val="22"/>
          <w:szCs w:val="22"/>
        </w:rPr>
        <w:t>Aldermen of the City of Savannah, to Chatham</w:t>
      </w:r>
      <w:r>
        <w:rPr>
          <w:sz w:val="22"/>
          <w:szCs w:val="22"/>
        </w:rPr>
        <w:t xml:space="preserve"> </w:t>
      </w:r>
      <w:r w:rsidRPr="0073510B">
        <w:rPr>
          <w:sz w:val="22"/>
          <w:szCs w:val="22"/>
        </w:rPr>
        <w:t>County, Georgia, as reflected by Deed the</w:t>
      </w:r>
      <w:r>
        <w:rPr>
          <w:sz w:val="22"/>
          <w:szCs w:val="22"/>
        </w:rPr>
        <w:t xml:space="preserve"> </w:t>
      </w:r>
      <w:r w:rsidRPr="0073510B">
        <w:rPr>
          <w:sz w:val="22"/>
          <w:szCs w:val="22"/>
        </w:rPr>
        <w:t xml:space="preserve">30th day of </w:t>
      </w:r>
      <w:r w:rsidR="000605F8" w:rsidRPr="0073510B">
        <w:rPr>
          <w:sz w:val="22"/>
          <w:szCs w:val="22"/>
        </w:rPr>
        <w:t>June</w:t>
      </w:r>
      <w:r w:rsidRPr="0073510B">
        <w:rPr>
          <w:sz w:val="22"/>
          <w:szCs w:val="22"/>
        </w:rPr>
        <w:t xml:space="preserve"> 1972, recorded in the</w:t>
      </w:r>
      <w:r>
        <w:rPr>
          <w:sz w:val="22"/>
          <w:szCs w:val="22"/>
        </w:rPr>
        <w:t xml:space="preserve"> </w:t>
      </w:r>
      <w:r w:rsidRPr="0073510B">
        <w:rPr>
          <w:sz w:val="22"/>
          <w:szCs w:val="22"/>
        </w:rPr>
        <w:t>Office of the Clerk of the Superior court of</w:t>
      </w:r>
      <w:r>
        <w:rPr>
          <w:sz w:val="22"/>
          <w:szCs w:val="22"/>
        </w:rPr>
        <w:t xml:space="preserve"> </w:t>
      </w:r>
      <w:r w:rsidR="000605F8" w:rsidRPr="0073510B">
        <w:rPr>
          <w:sz w:val="22"/>
          <w:szCs w:val="22"/>
        </w:rPr>
        <w:t>Chatham County</w:t>
      </w:r>
      <w:r w:rsidRPr="0073510B">
        <w:rPr>
          <w:sz w:val="22"/>
          <w:szCs w:val="22"/>
        </w:rPr>
        <w:t>, Georgia, in Deed Record Book</w:t>
      </w:r>
      <w:r>
        <w:rPr>
          <w:sz w:val="22"/>
          <w:szCs w:val="22"/>
        </w:rPr>
        <w:t xml:space="preserve"> 100-U, Folio 509.</w:t>
      </w:r>
    </w:p>
    <w:p w14:paraId="09EE13E2" w14:textId="77777777" w:rsidR="0073510B" w:rsidRDefault="0073510B">
      <w:pPr>
        <w:rPr>
          <w:sz w:val="22"/>
          <w:szCs w:val="22"/>
        </w:rPr>
      </w:pPr>
      <w:r>
        <w:rPr>
          <w:sz w:val="22"/>
          <w:szCs w:val="22"/>
        </w:rPr>
        <w:br w:type="page"/>
      </w:r>
    </w:p>
    <w:p w14:paraId="0D7D7AC1" w14:textId="5764E60C" w:rsidR="0073510B" w:rsidRPr="002546F3" w:rsidRDefault="0073510B" w:rsidP="0073510B">
      <w:pPr>
        <w:widowControl w:val="0"/>
        <w:jc w:val="center"/>
        <w:rPr>
          <w:b/>
          <w:sz w:val="22"/>
          <w:szCs w:val="22"/>
        </w:rPr>
      </w:pPr>
      <w:r w:rsidRPr="002546F3">
        <w:rPr>
          <w:b/>
          <w:sz w:val="22"/>
          <w:szCs w:val="22"/>
        </w:rPr>
        <w:lastRenderedPageBreak/>
        <w:t>EXHIBIT “</w:t>
      </w:r>
      <w:r w:rsidR="00CA650E">
        <w:rPr>
          <w:b/>
          <w:sz w:val="22"/>
          <w:szCs w:val="22"/>
        </w:rPr>
        <w:t>B</w:t>
      </w:r>
      <w:r w:rsidRPr="002546F3">
        <w:rPr>
          <w:b/>
          <w:sz w:val="22"/>
          <w:szCs w:val="22"/>
        </w:rPr>
        <w:t>”</w:t>
      </w:r>
    </w:p>
    <w:p w14:paraId="21DAF3B0" w14:textId="77777777" w:rsidR="0073510B" w:rsidRDefault="0073510B" w:rsidP="0073510B">
      <w:pPr>
        <w:widowControl w:val="0"/>
        <w:jc w:val="center"/>
        <w:rPr>
          <w:b/>
          <w:sz w:val="22"/>
          <w:szCs w:val="22"/>
        </w:rPr>
      </w:pPr>
    </w:p>
    <w:p w14:paraId="67C37BE7" w14:textId="77777777" w:rsidR="0073510B" w:rsidRPr="002546F3" w:rsidRDefault="0073510B" w:rsidP="0073510B">
      <w:pPr>
        <w:widowControl w:val="0"/>
        <w:jc w:val="center"/>
        <w:rPr>
          <w:b/>
          <w:sz w:val="22"/>
          <w:szCs w:val="22"/>
        </w:rPr>
      </w:pPr>
      <w:r>
        <w:rPr>
          <w:b/>
          <w:sz w:val="22"/>
          <w:szCs w:val="22"/>
        </w:rPr>
        <w:t>Monroe Property</w:t>
      </w:r>
    </w:p>
    <w:p w14:paraId="51754C5F" w14:textId="77777777" w:rsidR="0073510B" w:rsidRPr="002546F3" w:rsidRDefault="0073510B" w:rsidP="0073510B">
      <w:pPr>
        <w:widowControl w:val="0"/>
        <w:jc w:val="center"/>
        <w:rPr>
          <w:b/>
          <w:sz w:val="22"/>
          <w:szCs w:val="22"/>
        </w:rPr>
      </w:pPr>
    </w:p>
    <w:p w14:paraId="1BFFB13B" w14:textId="6AE65572" w:rsidR="005C42FE" w:rsidRDefault="00CA650E" w:rsidP="00CA650E">
      <w:pPr>
        <w:widowControl w:val="0"/>
        <w:ind w:left="720" w:right="720"/>
        <w:jc w:val="both"/>
        <w:rPr>
          <w:sz w:val="22"/>
          <w:szCs w:val="22"/>
        </w:rPr>
      </w:pPr>
      <w:r w:rsidRPr="0073510B">
        <w:rPr>
          <w:sz w:val="22"/>
          <w:szCs w:val="22"/>
        </w:rPr>
        <w:t xml:space="preserve">All that </w:t>
      </w:r>
      <w:r>
        <w:rPr>
          <w:sz w:val="22"/>
          <w:szCs w:val="22"/>
        </w:rPr>
        <w:t>certain lot, tract or parcel of land situate, lying and being in</w:t>
      </w:r>
      <w:r w:rsidRPr="0073510B">
        <w:rPr>
          <w:sz w:val="22"/>
          <w:szCs w:val="22"/>
        </w:rPr>
        <w:t xml:space="preserve"> County</w:t>
      </w:r>
      <w:r>
        <w:rPr>
          <w:sz w:val="22"/>
          <w:szCs w:val="22"/>
        </w:rPr>
        <w:t xml:space="preserve"> </w:t>
      </w:r>
      <w:r w:rsidRPr="0073510B">
        <w:rPr>
          <w:sz w:val="22"/>
          <w:szCs w:val="22"/>
        </w:rPr>
        <w:t xml:space="preserve">of Chatham and </w:t>
      </w:r>
      <w:r>
        <w:rPr>
          <w:sz w:val="22"/>
          <w:szCs w:val="22"/>
        </w:rPr>
        <w:t>State of Georgia containing 124.56 acres, more or less, as shown on that certain map or plan of said property entitled “Plat of the Western Portion of the M.M. Monroe Tract and Parcel “D” of the Banks Tract, 8</w:t>
      </w:r>
      <w:r w:rsidRPr="00CA650E">
        <w:rPr>
          <w:sz w:val="22"/>
          <w:szCs w:val="22"/>
          <w:vertAlign w:val="superscript"/>
        </w:rPr>
        <w:t>th</w:t>
      </w:r>
      <w:r>
        <w:rPr>
          <w:sz w:val="22"/>
          <w:szCs w:val="22"/>
        </w:rPr>
        <w:t xml:space="preserve"> G.M. District, Chatham County, Georgia” dated June 6, 2006, prepared by Vincent Helmly, Georgia Registered Land Surveyor No. 1882, and recorded in the Office of the Clerk of the Superior Court of Chatham County, Georgia in Plat Book 37-P, Page 43.  Said map or plan is incorporated herein for a more particular description of the metes, bounds and dimensions of the property hereby described.</w:t>
      </w:r>
    </w:p>
    <w:p w14:paraId="2168E53C" w14:textId="502EFB26" w:rsidR="00CA650E" w:rsidRDefault="00CA650E" w:rsidP="00CA650E">
      <w:pPr>
        <w:widowControl w:val="0"/>
        <w:ind w:left="720" w:right="720"/>
        <w:jc w:val="both"/>
        <w:rPr>
          <w:sz w:val="22"/>
          <w:szCs w:val="22"/>
        </w:rPr>
      </w:pPr>
    </w:p>
    <w:p w14:paraId="3565BE2B" w14:textId="13C54F82" w:rsidR="00DA2FA7" w:rsidRDefault="00CA650E" w:rsidP="00CA650E">
      <w:pPr>
        <w:widowControl w:val="0"/>
        <w:ind w:left="720" w:right="720"/>
        <w:jc w:val="both"/>
        <w:rPr>
          <w:sz w:val="22"/>
          <w:szCs w:val="22"/>
        </w:rPr>
      </w:pPr>
      <w:r>
        <w:rPr>
          <w:sz w:val="22"/>
          <w:szCs w:val="22"/>
        </w:rPr>
        <w:t>PIN: 5-1009-03-020</w:t>
      </w:r>
    </w:p>
    <w:p w14:paraId="1387F44A" w14:textId="77777777" w:rsidR="00DA2FA7" w:rsidRDefault="00DA2FA7">
      <w:pPr>
        <w:rPr>
          <w:sz w:val="22"/>
          <w:szCs w:val="22"/>
        </w:rPr>
      </w:pPr>
      <w:r>
        <w:rPr>
          <w:sz w:val="22"/>
          <w:szCs w:val="22"/>
        </w:rPr>
        <w:br w:type="page"/>
      </w:r>
    </w:p>
    <w:p w14:paraId="1A63A22A" w14:textId="3A85145C" w:rsidR="00DA2FA7" w:rsidRPr="002546F3" w:rsidRDefault="00DA2FA7" w:rsidP="00DA2FA7">
      <w:pPr>
        <w:widowControl w:val="0"/>
        <w:jc w:val="center"/>
        <w:rPr>
          <w:b/>
          <w:sz w:val="22"/>
          <w:szCs w:val="22"/>
        </w:rPr>
      </w:pPr>
      <w:r w:rsidRPr="002546F3">
        <w:rPr>
          <w:b/>
          <w:sz w:val="22"/>
          <w:szCs w:val="22"/>
        </w:rPr>
        <w:lastRenderedPageBreak/>
        <w:t>EXHIBIT “</w:t>
      </w:r>
      <w:r>
        <w:rPr>
          <w:b/>
          <w:sz w:val="22"/>
          <w:szCs w:val="22"/>
        </w:rPr>
        <w:t>C</w:t>
      </w:r>
      <w:r w:rsidRPr="002546F3">
        <w:rPr>
          <w:b/>
          <w:sz w:val="22"/>
          <w:szCs w:val="22"/>
        </w:rPr>
        <w:t>”</w:t>
      </w:r>
    </w:p>
    <w:p w14:paraId="7B50E970" w14:textId="77777777" w:rsidR="00DA2FA7" w:rsidRDefault="00DA2FA7" w:rsidP="00DA2FA7">
      <w:pPr>
        <w:widowControl w:val="0"/>
        <w:jc w:val="center"/>
        <w:rPr>
          <w:b/>
          <w:sz w:val="22"/>
          <w:szCs w:val="22"/>
        </w:rPr>
      </w:pPr>
    </w:p>
    <w:p w14:paraId="6A187920" w14:textId="3ACC7417" w:rsidR="00DA2FA7" w:rsidRPr="002546F3" w:rsidRDefault="00DA2FA7" w:rsidP="00DA2FA7">
      <w:pPr>
        <w:widowControl w:val="0"/>
        <w:jc w:val="center"/>
        <w:rPr>
          <w:b/>
          <w:sz w:val="22"/>
          <w:szCs w:val="22"/>
        </w:rPr>
      </w:pPr>
      <w:r>
        <w:rPr>
          <w:b/>
          <w:sz w:val="22"/>
          <w:szCs w:val="22"/>
        </w:rPr>
        <w:t>Plat</w:t>
      </w:r>
    </w:p>
    <w:p w14:paraId="58035AF5" w14:textId="77777777" w:rsidR="00CA650E" w:rsidRPr="0073510B" w:rsidRDefault="00CA650E" w:rsidP="00CA650E">
      <w:pPr>
        <w:widowControl w:val="0"/>
        <w:ind w:left="720" w:right="720"/>
        <w:jc w:val="both"/>
        <w:rPr>
          <w:sz w:val="22"/>
          <w:szCs w:val="22"/>
        </w:rPr>
      </w:pPr>
    </w:p>
    <w:sectPr w:rsidR="00CA650E" w:rsidRPr="0073510B" w:rsidSect="002546F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AFD45" w14:textId="77777777" w:rsidR="00F27217" w:rsidRDefault="00F27217">
      <w:r>
        <w:separator/>
      </w:r>
    </w:p>
  </w:endnote>
  <w:endnote w:type="continuationSeparator" w:id="0">
    <w:p w14:paraId="08475C28" w14:textId="77777777" w:rsidR="00F27217" w:rsidRDefault="00F2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163B" w14:textId="77777777" w:rsidR="00095529" w:rsidRDefault="00095529">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3605" w14:textId="77777777" w:rsidR="00095529" w:rsidRDefault="00095529">
    <w:pPr>
      <w:widowControl w:val="0"/>
      <w:spacing w:line="24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614B" w14:textId="77777777" w:rsidR="0019016E" w:rsidRDefault="00190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5D14F" w14:textId="77777777" w:rsidR="00F27217" w:rsidRDefault="00F27217">
      <w:r>
        <w:separator/>
      </w:r>
    </w:p>
  </w:footnote>
  <w:footnote w:type="continuationSeparator" w:id="0">
    <w:p w14:paraId="719E72F6" w14:textId="77777777" w:rsidR="00F27217" w:rsidRDefault="00F27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D186" w14:textId="77777777" w:rsidR="00095529" w:rsidRDefault="00095529">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5D7A" w14:textId="77777777" w:rsidR="00095529" w:rsidRDefault="00095529">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18BD" w14:textId="77777777" w:rsidR="0019016E" w:rsidRDefault="00190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2669"/>
    <w:multiLevelType w:val="hybridMultilevel"/>
    <w:tmpl w:val="140A0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29"/>
    <w:rsid w:val="000540E1"/>
    <w:rsid w:val="000605F8"/>
    <w:rsid w:val="00086407"/>
    <w:rsid w:val="00095529"/>
    <w:rsid w:val="00111FB2"/>
    <w:rsid w:val="00141884"/>
    <w:rsid w:val="0019016E"/>
    <w:rsid w:val="002546F3"/>
    <w:rsid w:val="00283AC5"/>
    <w:rsid w:val="002C0B5F"/>
    <w:rsid w:val="003372E0"/>
    <w:rsid w:val="00357DF5"/>
    <w:rsid w:val="00386185"/>
    <w:rsid w:val="00486B6B"/>
    <w:rsid w:val="00492A81"/>
    <w:rsid w:val="004C5606"/>
    <w:rsid w:val="005A4FDD"/>
    <w:rsid w:val="005B4CB3"/>
    <w:rsid w:val="005C42FE"/>
    <w:rsid w:val="005C5699"/>
    <w:rsid w:val="00632A10"/>
    <w:rsid w:val="006B4EC9"/>
    <w:rsid w:val="00705EE5"/>
    <w:rsid w:val="00714148"/>
    <w:rsid w:val="007320B6"/>
    <w:rsid w:val="0073510B"/>
    <w:rsid w:val="00772F81"/>
    <w:rsid w:val="00775B8C"/>
    <w:rsid w:val="00AD0FEA"/>
    <w:rsid w:val="00AE46A3"/>
    <w:rsid w:val="00B312CE"/>
    <w:rsid w:val="00B55635"/>
    <w:rsid w:val="00B5592D"/>
    <w:rsid w:val="00B80267"/>
    <w:rsid w:val="00BB794A"/>
    <w:rsid w:val="00C06676"/>
    <w:rsid w:val="00C1147F"/>
    <w:rsid w:val="00C327DB"/>
    <w:rsid w:val="00C40C0B"/>
    <w:rsid w:val="00CA650E"/>
    <w:rsid w:val="00CD11D1"/>
    <w:rsid w:val="00D12AEF"/>
    <w:rsid w:val="00D443E1"/>
    <w:rsid w:val="00D61705"/>
    <w:rsid w:val="00D8036E"/>
    <w:rsid w:val="00DA1D83"/>
    <w:rsid w:val="00DA291A"/>
    <w:rsid w:val="00DA2FA7"/>
    <w:rsid w:val="00DB1A55"/>
    <w:rsid w:val="00DE200E"/>
    <w:rsid w:val="00DF49E3"/>
    <w:rsid w:val="00E164DE"/>
    <w:rsid w:val="00F27217"/>
    <w:rsid w:val="00F9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CBA037"/>
  <w15:docId w15:val="{CCDA5687-01D2-4021-A626-672C254C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0E1"/>
    <w:rPr>
      <w:rFonts w:ascii="Tahoma" w:hAnsi="Tahoma" w:cs="Tahoma"/>
      <w:sz w:val="16"/>
      <w:szCs w:val="16"/>
    </w:rPr>
  </w:style>
  <w:style w:type="character" w:customStyle="1" w:styleId="BalloonTextChar">
    <w:name w:val="Balloon Text Char"/>
    <w:basedOn w:val="DefaultParagraphFont"/>
    <w:link w:val="BalloonText"/>
    <w:uiPriority w:val="99"/>
    <w:semiHidden/>
    <w:rsid w:val="000540E1"/>
    <w:rPr>
      <w:rFonts w:ascii="Tahoma" w:hAnsi="Tahoma" w:cs="Tahoma"/>
      <w:sz w:val="16"/>
      <w:szCs w:val="16"/>
    </w:rPr>
  </w:style>
  <w:style w:type="paragraph" w:styleId="Header">
    <w:name w:val="header"/>
    <w:basedOn w:val="Normal"/>
    <w:link w:val="HeaderChar"/>
    <w:uiPriority w:val="99"/>
    <w:unhideWhenUsed/>
    <w:rsid w:val="0019016E"/>
    <w:pPr>
      <w:tabs>
        <w:tab w:val="center" w:pos="4680"/>
        <w:tab w:val="right" w:pos="9360"/>
      </w:tabs>
    </w:pPr>
  </w:style>
  <w:style w:type="character" w:customStyle="1" w:styleId="HeaderChar">
    <w:name w:val="Header Char"/>
    <w:basedOn w:val="DefaultParagraphFont"/>
    <w:link w:val="Header"/>
    <w:uiPriority w:val="99"/>
    <w:rsid w:val="0019016E"/>
    <w:rPr>
      <w:sz w:val="24"/>
    </w:rPr>
  </w:style>
  <w:style w:type="paragraph" w:styleId="Footer">
    <w:name w:val="footer"/>
    <w:basedOn w:val="Normal"/>
    <w:link w:val="FooterChar"/>
    <w:uiPriority w:val="99"/>
    <w:unhideWhenUsed/>
    <w:rsid w:val="0019016E"/>
    <w:pPr>
      <w:tabs>
        <w:tab w:val="center" w:pos="4680"/>
        <w:tab w:val="right" w:pos="9360"/>
      </w:tabs>
    </w:pPr>
  </w:style>
  <w:style w:type="character" w:customStyle="1" w:styleId="FooterChar">
    <w:name w:val="Footer Char"/>
    <w:basedOn w:val="DefaultParagraphFont"/>
    <w:link w:val="Footer"/>
    <w:uiPriority w:val="99"/>
    <w:rsid w:val="0019016E"/>
    <w:rPr>
      <w:sz w:val="24"/>
    </w:rPr>
  </w:style>
  <w:style w:type="paragraph" w:styleId="ListParagraph">
    <w:name w:val="List Paragraph"/>
    <w:basedOn w:val="Normal"/>
    <w:uiPriority w:val="34"/>
    <w:qFormat/>
    <w:rsid w:val="00111FB2"/>
    <w:pPr>
      <w:ind w:left="720"/>
      <w:contextualSpacing/>
    </w:pPr>
  </w:style>
  <w:style w:type="paragraph" w:styleId="Revision">
    <w:name w:val="Revision"/>
    <w:hidden/>
    <w:uiPriority w:val="99"/>
    <w:semiHidden/>
    <w:rsid w:val="00B80267"/>
    <w:rPr>
      <w:sz w:val="24"/>
    </w:rPr>
  </w:style>
  <w:style w:type="character" w:styleId="CommentReference">
    <w:name w:val="annotation reference"/>
    <w:basedOn w:val="DefaultParagraphFont"/>
    <w:uiPriority w:val="99"/>
    <w:semiHidden/>
    <w:unhideWhenUsed/>
    <w:rsid w:val="00DE200E"/>
    <w:rPr>
      <w:sz w:val="16"/>
      <w:szCs w:val="16"/>
    </w:rPr>
  </w:style>
  <w:style w:type="paragraph" w:styleId="CommentText">
    <w:name w:val="annotation text"/>
    <w:basedOn w:val="Normal"/>
    <w:link w:val="CommentTextChar"/>
    <w:uiPriority w:val="99"/>
    <w:semiHidden/>
    <w:unhideWhenUsed/>
    <w:rsid w:val="00DE200E"/>
    <w:rPr>
      <w:sz w:val="20"/>
    </w:rPr>
  </w:style>
  <w:style w:type="character" w:customStyle="1" w:styleId="CommentTextChar">
    <w:name w:val="Comment Text Char"/>
    <w:basedOn w:val="DefaultParagraphFont"/>
    <w:link w:val="CommentText"/>
    <w:uiPriority w:val="99"/>
    <w:semiHidden/>
    <w:rsid w:val="00DE200E"/>
  </w:style>
  <w:style w:type="paragraph" w:styleId="CommentSubject">
    <w:name w:val="annotation subject"/>
    <w:basedOn w:val="CommentText"/>
    <w:next w:val="CommentText"/>
    <w:link w:val="CommentSubjectChar"/>
    <w:uiPriority w:val="99"/>
    <w:semiHidden/>
    <w:unhideWhenUsed/>
    <w:rsid w:val="00DE200E"/>
    <w:rPr>
      <w:b/>
      <w:bCs/>
    </w:rPr>
  </w:style>
  <w:style w:type="character" w:customStyle="1" w:styleId="CommentSubjectChar">
    <w:name w:val="Comment Subject Char"/>
    <w:basedOn w:val="CommentTextChar"/>
    <w:link w:val="CommentSubject"/>
    <w:uiPriority w:val="99"/>
    <w:semiHidden/>
    <w:rsid w:val="00DE20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1297</Words>
  <Characters>6878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Dyches</dc:creator>
  <cp:lastModifiedBy>Manuela Abney</cp:lastModifiedBy>
  <cp:revision>2</cp:revision>
  <cp:lastPrinted>2022-04-20T15:13:00Z</cp:lastPrinted>
  <dcterms:created xsi:type="dcterms:W3CDTF">2022-04-20T15:14:00Z</dcterms:created>
  <dcterms:modified xsi:type="dcterms:W3CDTF">2022-04-20T15:14:00Z</dcterms:modified>
</cp:coreProperties>
</file>